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1044"/>
        <w:jc w:val="center"/>
        <w:rPr>
          <w:rFonts w:cs="Times New Roman"/>
          <w:b/>
          <w:bCs/>
          <w:color w:val="000000" w:themeColor="text1"/>
          <w:sz w:val="52"/>
          <w:szCs w:val="52"/>
          <w14:textFill>
            <w14:solidFill>
              <w14:schemeClr w14:val="tx1"/>
            </w14:solidFill>
          </w14:textFill>
        </w:rPr>
      </w:pPr>
    </w:p>
    <w:p>
      <w:pPr>
        <w:spacing w:line="480" w:lineRule="auto"/>
        <w:ind w:firstLine="1044"/>
        <w:jc w:val="center"/>
        <w:rPr>
          <w:rFonts w:cs="Times New Roman"/>
          <w:b/>
          <w:bCs/>
          <w:color w:val="000000" w:themeColor="text1"/>
          <w:sz w:val="52"/>
          <w:szCs w:val="52"/>
          <w14:textFill>
            <w14:solidFill>
              <w14:schemeClr w14:val="tx1"/>
            </w14:solidFill>
          </w14:textFill>
        </w:rPr>
      </w:pPr>
    </w:p>
    <w:p>
      <w:pPr>
        <w:spacing w:line="480" w:lineRule="auto"/>
        <w:ind w:firstLine="1044"/>
        <w:jc w:val="center"/>
        <w:rPr>
          <w:rFonts w:cs="Times New Roman"/>
          <w:b/>
          <w:bCs/>
          <w:color w:val="000000" w:themeColor="text1"/>
          <w:sz w:val="52"/>
          <w:szCs w:val="52"/>
          <w14:textFill>
            <w14:solidFill>
              <w14:schemeClr w14:val="tx1"/>
            </w14:solidFill>
          </w14:textFill>
        </w:rPr>
      </w:pPr>
    </w:p>
    <w:p>
      <w:pPr>
        <w:spacing w:line="480" w:lineRule="auto"/>
        <w:ind w:firstLine="1044"/>
        <w:jc w:val="center"/>
        <w:rPr>
          <w:rFonts w:cs="Times New Roman"/>
          <w:b/>
          <w:bCs/>
          <w:color w:val="000000" w:themeColor="text1"/>
          <w:sz w:val="52"/>
          <w:szCs w:val="52"/>
          <w14:textFill>
            <w14:solidFill>
              <w14:schemeClr w14:val="tx1"/>
            </w14:solidFill>
          </w14:textFill>
        </w:rPr>
      </w:pPr>
    </w:p>
    <w:p>
      <w:pPr>
        <w:spacing w:line="480" w:lineRule="auto"/>
        <w:ind w:firstLine="1044"/>
        <w:jc w:val="center"/>
        <w:rPr>
          <w:rFonts w:cs="Times New Roman"/>
          <w:b/>
          <w:bCs/>
          <w:color w:val="000000" w:themeColor="text1"/>
          <w:sz w:val="52"/>
          <w:szCs w:val="52"/>
          <w14:textFill>
            <w14:solidFill>
              <w14:schemeClr w14:val="tx1"/>
            </w14:solidFill>
          </w14:textFill>
        </w:rPr>
      </w:pPr>
    </w:p>
    <w:p>
      <w:pPr>
        <w:spacing w:line="480" w:lineRule="auto"/>
        <w:ind w:firstLine="0" w:firstLineChars="0"/>
        <w:jc w:val="center"/>
        <w:rPr>
          <w:rFonts w:cs="Times New Roman"/>
          <w:b/>
          <w:bCs/>
          <w:color w:val="000000" w:themeColor="text1"/>
          <w:sz w:val="52"/>
          <w:szCs w:val="52"/>
          <w14:textFill>
            <w14:solidFill>
              <w14:schemeClr w14:val="tx1"/>
            </w14:solidFill>
          </w14:textFill>
        </w:rPr>
      </w:pPr>
      <w:bookmarkStart w:id="0" w:name="_Hlk50034398"/>
      <w:bookmarkStart w:id="94" w:name="_GoBack"/>
      <w:r>
        <w:rPr>
          <w:rFonts w:hint="eastAsia" w:cs="Times New Roman"/>
          <w:b/>
          <w:bCs/>
          <w:color w:val="000000" w:themeColor="text1"/>
          <w:sz w:val="52"/>
          <w:szCs w:val="52"/>
          <w14:textFill>
            <w14:solidFill>
              <w14:schemeClr w14:val="tx1"/>
            </w14:solidFill>
          </w14:textFill>
        </w:rPr>
        <w:t>内蒙古自治区呼和浩特市中国乳都总体规划</w:t>
      </w:r>
      <w:r>
        <w:rPr>
          <w:rFonts w:cs="Times New Roman"/>
          <w:b/>
          <w:bCs/>
          <w:color w:val="000000" w:themeColor="text1"/>
          <w:sz w:val="52"/>
          <w:szCs w:val="52"/>
          <w14:textFill>
            <w14:solidFill>
              <w14:schemeClr w14:val="tx1"/>
            </w14:solidFill>
          </w14:textFill>
        </w:rPr>
        <w:t>（2021—2025年）</w:t>
      </w:r>
      <w:bookmarkEnd w:id="0"/>
    </w:p>
    <w:p>
      <w:pPr>
        <w:spacing w:line="480" w:lineRule="auto"/>
        <w:ind w:firstLine="0" w:firstLineChars="0"/>
        <w:jc w:val="center"/>
        <w:rPr>
          <w:rFonts w:cs="Times New Roman"/>
          <w:b/>
          <w:bCs/>
          <w:color w:val="000000" w:themeColor="text1"/>
          <w:sz w:val="48"/>
          <w:szCs w:val="48"/>
          <w14:textFill>
            <w14:solidFill>
              <w14:schemeClr w14:val="tx1"/>
            </w14:solidFill>
          </w14:textFill>
        </w:rPr>
      </w:pPr>
      <w:r>
        <w:rPr>
          <w:rFonts w:hint="eastAsia" w:cs="Times New Roman"/>
          <w:b/>
          <w:bCs/>
          <w:color w:val="000000" w:themeColor="text1"/>
          <w:sz w:val="48"/>
          <w:szCs w:val="48"/>
          <w14:textFill>
            <w14:solidFill>
              <w14:schemeClr w14:val="tx1"/>
            </w14:solidFill>
          </w14:textFill>
        </w:rPr>
        <w:t>（评审稿）</w:t>
      </w:r>
    </w:p>
    <w:bookmarkEnd w:id="94"/>
    <w:p>
      <w:pPr>
        <w:spacing w:line="560" w:lineRule="exact"/>
        <w:ind w:firstLine="643"/>
        <w:jc w:val="center"/>
        <w:rPr>
          <w:rFonts w:cs="Times New Roman"/>
          <w:b/>
          <w:bCs/>
          <w:color w:val="000000" w:themeColor="text1"/>
          <w:sz w:val="32"/>
          <w:szCs w:val="32"/>
          <w14:textFill>
            <w14:solidFill>
              <w14:schemeClr w14:val="tx1"/>
            </w14:solidFill>
          </w14:textFill>
        </w:rPr>
      </w:pPr>
    </w:p>
    <w:p>
      <w:pPr>
        <w:spacing w:line="560" w:lineRule="exact"/>
        <w:ind w:firstLine="643"/>
        <w:jc w:val="center"/>
        <w:rPr>
          <w:rFonts w:cs="Times New Roman"/>
          <w:b/>
          <w:bCs/>
          <w:color w:val="000000" w:themeColor="text1"/>
          <w:sz w:val="32"/>
          <w:szCs w:val="32"/>
          <w14:textFill>
            <w14:solidFill>
              <w14:schemeClr w14:val="tx1"/>
            </w14:solidFill>
          </w14:textFill>
        </w:rPr>
      </w:pPr>
    </w:p>
    <w:p>
      <w:pPr>
        <w:spacing w:line="560" w:lineRule="exact"/>
        <w:ind w:firstLine="643"/>
        <w:jc w:val="center"/>
        <w:rPr>
          <w:rFonts w:cs="Times New Roman"/>
          <w:b/>
          <w:bCs/>
          <w:color w:val="000000" w:themeColor="text1"/>
          <w:sz w:val="32"/>
          <w:szCs w:val="32"/>
          <w14:textFill>
            <w14:solidFill>
              <w14:schemeClr w14:val="tx1"/>
            </w14:solidFill>
          </w14:textFill>
        </w:rPr>
      </w:pPr>
    </w:p>
    <w:p>
      <w:pPr>
        <w:spacing w:line="560" w:lineRule="exact"/>
        <w:ind w:firstLine="643"/>
        <w:jc w:val="center"/>
        <w:rPr>
          <w:rFonts w:cs="Times New Roman"/>
          <w:b/>
          <w:bCs/>
          <w:color w:val="000000" w:themeColor="text1"/>
          <w:sz w:val="32"/>
          <w:szCs w:val="32"/>
          <w14:textFill>
            <w14:solidFill>
              <w14:schemeClr w14:val="tx1"/>
            </w14:solidFill>
          </w14:textFill>
        </w:rPr>
      </w:pPr>
    </w:p>
    <w:p>
      <w:pPr>
        <w:spacing w:line="560" w:lineRule="exact"/>
        <w:ind w:firstLine="643"/>
        <w:jc w:val="center"/>
        <w:rPr>
          <w:rFonts w:cs="Times New Roman"/>
          <w:b/>
          <w:bCs/>
          <w:color w:val="000000" w:themeColor="text1"/>
          <w:sz w:val="32"/>
          <w:szCs w:val="32"/>
          <w14:textFill>
            <w14:solidFill>
              <w14:schemeClr w14:val="tx1"/>
            </w14:solidFill>
          </w14:textFill>
        </w:rPr>
      </w:pPr>
    </w:p>
    <w:p>
      <w:pPr>
        <w:spacing w:line="560" w:lineRule="exact"/>
        <w:ind w:firstLine="643"/>
        <w:jc w:val="center"/>
        <w:rPr>
          <w:rFonts w:cs="Times New Roman"/>
          <w:b/>
          <w:bCs/>
          <w:color w:val="000000" w:themeColor="text1"/>
          <w:sz w:val="32"/>
          <w:szCs w:val="32"/>
          <w14:textFill>
            <w14:solidFill>
              <w14:schemeClr w14:val="tx1"/>
            </w14:solidFill>
          </w14:textFill>
        </w:rPr>
      </w:pPr>
    </w:p>
    <w:p>
      <w:pPr>
        <w:spacing w:line="560" w:lineRule="exact"/>
        <w:ind w:firstLine="643"/>
        <w:jc w:val="center"/>
        <w:rPr>
          <w:rFonts w:cs="Times New Roman"/>
          <w:b/>
          <w:bCs/>
          <w:color w:val="000000" w:themeColor="text1"/>
          <w:sz w:val="32"/>
          <w:szCs w:val="32"/>
          <w14:textFill>
            <w14:solidFill>
              <w14:schemeClr w14:val="tx1"/>
            </w14:solidFill>
          </w14:textFill>
        </w:rPr>
      </w:pPr>
    </w:p>
    <w:p>
      <w:pPr>
        <w:spacing w:line="560" w:lineRule="exact"/>
        <w:ind w:firstLine="643"/>
        <w:jc w:val="center"/>
        <w:rPr>
          <w:rFonts w:cs="Times New Roman"/>
          <w:b/>
          <w:bCs/>
          <w:color w:val="000000" w:themeColor="text1"/>
          <w:sz w:val="32"/>
          <w:szCs w:val="32"/>
          <w14:textFill>
            <w14:solidFill>
              <w14:schemeClr w14:val="tx1"/>
            </w14:solidFill>
          </w14:textFill>
        </w:rPr>
      </w:pPr>
    </w:p>
    <w:p>
      <w:pPr>
        <w:spacing w:line="560" w:lineRule="exact"/>
        <w:ind w:firstLine="643"/>
        <w:jc w:val="center"/>
        <w:rPr>
          <w:rFonts w:cs="Times New Roman"/>
          <w:b/>
          <w:bCs/>
          <w:color w:val="000000" w:themeColor="text1"/>
          <w:sz w:val="32"/>
          <w:szCs w:val="32"/>
          <w14:textFill>
            <w14:solidFill>
              <w14:schemeClr w14:val="tx1"/>
            </w14:solidFill>
          </w14:textFill>
        </w:rPr>
      </w:pPr>
    </w:p>
    <w:p>
      <w:pPr>
        <w:spacing w:line="560" w:lineRule="exact"/>
        <w:ind w:firstLine="643"/>
        <w:jc w:val="center"/>
        <w:rPr>
          <w:rFonts w:cs="Times New Roman"/>
          <w:b/>
          <w:bCs/>
          <w:color w:val="000000" w:themeColor="text1"/>
          <w:sz w:val="32"/>
          <w:szCs w:val="32"/>
          <w14:textFill>
            <w14:solidFill>
              <w14:schemeClr w14:val="tx1"/>
            </w14:solidFill>
          </w14:textFill>
        </w:rPr>
      </w:pPr>
    </w:p>
    <w:p>
      <w:pPr>
        <w:spacing w:line="560" w:lineRule="exact"/>
        <w:ind w:firstLine="643"/>
        <w:jc w:val="center"/>
        <w:rPr>
          <w:rFonts w:cs="Times New Roman"/>
          <w:b/>
          <w:bCs/>
          <w:color w:val="000000" w:themeColor="text1"/>
          <w:sz w:val="32"/>
          <w:szCs w:val="32"/>
          <w14:textFill>
            <w14:solidFill>
              <w14:schemeClr w14:val="tx1"/>
            </w14:solidFill>
          </w14:textFill>
        </w:rPr>
      </w:pPr>
    </w:p>
    <w:p>
      <w:pPr>
        <w:spacing w:line="560" w:lineRule="exact"/>
        <w:ind w:firstLine="723"/>
        <w:jc w:val="center"/>
        <w:rPr>
          <w:rFonts w:ascii="楷体_GB2312" w:eastAsia="楷体_GB2312" w:cs="Times New Roman"/>
          <w:b/>
          <w:bCs/>
          <w:color w:val="000000" w:themeColor="text1"/>
          <w:sz w:val="36"/>
          <w:szCs w:val="36"/>
          <w14:textFill>
            <w14:solidFill>
              <w14:schemeClr w14:val="tx1"/>
            </w14:solidFill>
          </w14:textFill>
        </w:rPr>
      </w:pPr>
      <w:r>
        <w:rPr>
          <w:rFonts w:hint="eastAsia" w:ascii="楷体_GB2312" w:eastAsia="楷体_GB2312" w:cs="Times New Roman"/>
          <w:b/>
          <w:bCs/>
          <w:color w:val="000000" w:themeColor="text1"/>
          <w:sz w:val="36"/>
          <w:szCs w:val="36"/>
          <w14:textFill>
            <w14:solidFill>
              <w14:schemeClr w14:val="tx1"/>
            </w14:solidFill>
          </w14:textFill>
        </w:rPr>
        <w:t>农业农村部规划设计研究院</w:t>
      </w:r>
    </w:p>
    <w:p>
      <w:pPr>
        <w:spacing w:line="560" w:lineRule="exact"/>
        <w:ind w:firstLine="723"/>
        <w:jc w:val="center"/>
        <w:rPr>
          <w:rFonts w:ascii="楷体_GB2312" w:eastAsia="楷体_GB2312" w:cs="Times New Roman"/>
          <w:b/>
          <w:bCs/>
          <w:color w:val="000000" w:themeColor="text1"/>
          <w:sz w:val="36"/>
          <w:szCs w:val="36"/>
          <w14:textFill>
            <w14:solidFill>
              <w14:schemeClr w14:val="tx1"/>
            </w14:solidFill>
          </w14:textFill>
        </w:rPr>
      </w:pPr>
      <w:r>
        <w:rPr>
          <w:rFonts w:hint="eastAsia" w:ascii="楷体_GB2312" w:eastAsia="楷体_GB2312" w:cs="Times New Roman"/>
          <w:b/>
          <w:bCs/>
          <w:color w:val="000000" w:themeColor="text1"/>
          <w:sz w:val="36"/>
          <w:szCs w:val="36"/>
          <w14:textFill>
            <w14:solidFill>
              <w14:schemeClr w14:val="tx1"/>
            </w14:solidFill>
          </w14:textFill>
        </w:rPr>
        <w:t>二零二一年八月</w:t>
      </w:r>
    </w:p>
    <w:p>
      <w:pPr>
        <w:ind w:firstLine="560"/>
        <w:rPr>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560" w:right="1797" w:bottom="1440" w:left="1797" w:header="851" w:footer="992" w:gutter="0"/>
          <w:cols w:space="425" w:num="1"/>
          <w:docGrid w:type="lines" w:linePitch="312" w:charSpace="0"/>
        </w:sectPr>
      </w:pPr>
    </w:p>
    <w:p>
      <w:pPr>
        <w:ind w:firstLine="803"/>
        <w:jc w:val="center"/>
        <w:rPr>
          <w:b/>
          <w:bCs/>
          <w:color w:val="000000" w:themeColor="text1"/>
          <w:sz w:val="40"/>
          <w:szCs w:val="40"/>
          <w14:textFill>
            <w14:solidFill>
              <w14:schemeClr w14:val="tx1"/>
            </w14:solidFill>
          </w14:textFill>
        </w:rPr>
      </w:pPr>
      <w:r>
        <w:rPr>
          <w:rFonts w:hint="eastAsia"/>
          <w:b/>
          <w:bCs/>
          <w:color w:val="000000" w:themeColor="text1"/>
          <w:sz w:val="40"/>
          <w:szCs w:val="40"/>
          <w14:textFill>
            <w14:solidFill>
              <w14:schemeClr w14:val="tx1"/>
            </w14:solidFill>
          </w14:textFill>
        </w:rPr>
        <w:t xml:space="preserve">目 </w:t>
      </w:r>
      <w:r>
        <w:rPr>
          <w:b/>
          <w:bCs/>
          <w:color w:val="000000" w:themeColor="text1"/>
          <w:sz w:val="40"/>
          <w:szCs w:val="40"/>
          <w14:textFill>
            <w14:solidFill>
              <w14:schemeClr w14:val="tx1"/>
            </w14:solidFill>
          </w14:textFill>
        </w:rPr>
        <w:t xml:space="preserve"> </w:t>
      </w:r>
      <w:r>
        <w:rPr>
          <w:rFonts w:hint="eastAsia"/>
          <w:b/>
          <w:bCs/>
          <w:color w:val="000000" w:themeColor="text1"/>
          <w:sz w:val="40"/>
          <w:szCs w:val="40"/>
          <w14:textFill>
            <w14:solidFill>
              <w14:schemeClr w14:val="tx1"/>
            </w14:solidFill>
          </w14:textFill>
        </w:rPr>
        <w:t>录</w:t>
      </w:r>
    </w:p>
    <w:p>
      <w:pPr>
        <w:pStyle w:val="24"/>
        <w:rPr>
          <w:rFonts w:hint="eastAsia" w:asciiTheme="minorHAnsi" w:hAnsiTheme="minorHAnsi" w:eastAsiaTheme="minorEastAsia" w:cstheme="minorBidi"/>
          <w:b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"1-2" \h \z \u </w:instrText>
      </w:r>
      <w:r>
        <w:rPr>
          <w:color w:val="000000" w:themeColor="text1"/>
          <w14:textFill>
            <w14:solidFill>
              <w14:schemeClr w14:val="tx1"/>
            </w14:solidFill>
          </w14:textFill>
        </w:rPr>
        <w:fldChar w:fldCharType="separate"/>
      </w:r>
      <w:r>
        <w:fldChar w:fldCharType="begin"/>
      </w:r>
      <w:r>
        <w:instrText xml:space="preserve"> HYPERLINK \l "_Toc80215032" </w:instrText>
      </w:r>
      <w:r>
        <w:fldChar w:fldCharType="separate"/>
      </w:r>
      <w:r>
        <w:rPr>
          <w:rStyle w:val="41"/>
          <w:bCs/>
          <w:color w:val="000000" w:themeColor="text1"/>
          <w14:textFill>
            <w14:solidFill>
              <w14:schemeClr w14:val="tx1"/>
            </w14:solidFill>
          </w14:textFill>
        </w:rPr>
        <w:t>前  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rPr>
          <w:rFonts w:hint="eastAsia"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"_Toc80215033" </w:instrText>
      </w:r>
      <w:r>
        <w:fldChar w:fldCharType="separate"/>
      </w:r>
      <w:r>
        <w:rPr>
          <w:rStyle w:val="41"/>
          <w:color w:val="000000" w:themeColor="text1"/>
          <w14:textFill>
            <w14:solidFill>
              <w14:schemeClr w14:val="tx1"/>
            </w14:solidFill>
          </w14:textFill>
        </w:rPr>
        <w:t>第1章 基础条件分析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"_Toc80215034" </w:instrText>
      </w:r>
      <w:r>
        <w:fldChar w:fldCharType="separate"/>
      </w:r>
      <w:r>
        <w:rPr>
          <w:rStyle w:val="41"/>
          <w:color w:val="000000" w:themeColor="text1"/>
          <w:kern w:val="0"/>
          <w14:textFill>
            <w14:solidFill>
              <w14:schemeClr w14:val="tx1"/>
            </w14:solidFill>
          </w14:textFill>
        </w:rPr>
        <w:t>1.1</w:t>
      </w:r>
      <w:r>
        <w:rPr>
          <w:rStyle w:val="41"/>
          <w:color w:val="000000" w:themeColor="text1"/>
          <w14:textFill>
            <w14:solidFill>
              <w14:schemeClr w14:val="tx1"/>
            </w14:solidFill>
          </w14:textFill>
        </w:rPr>
        <w:t xml:space="preserve"> 基本概况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"_Toc80215035" </w:instrText>
      </w:r>
      <w:r>
        <w:fldChar w:fldCharType="separate"/>
      </w:r>
      <w:r>
        <w:rPr>
          <w:rStyle w:val="41"/>
          <w:color w:val="000000" w:themeColor="text1"/>
          <w:kern w:val="0"/>
          <w14:textFill>
            <w14:solidFill>
              <w14:schemeClr w14:val="tx1"/>
            </w14:solidFill>
          </w14:textFill>
        </w:rPr>
        <w:t>1.2</w:t>
      </w:r>
      <w:r>
        <w:rPr>
          <w:rStyle w:val="41"/>
          <w:color w:val="000000" w:themeColor="text1"/>
          <w14:textFill>
            <w14:solidFill>
              <w14:schemeClr w14:val="tx1"/>
            </w14:solidFill>
          </w14:textFill>
        </w:rPr>
        <w:t xml:space="preserve"> 发展成就</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"_Toc80215036" </w:instrText>
      </w:r>
      <w:r>
        <w:fldChar w:fldCharType="separate"/>
      </w:r>
      <w:r>
        <w:rPr>
          <w:rStyle w:val="41"/>
          <w:color w:val="000000" w:themeColor="text1"/>
          <w:kern w:val="0"/>
          <w14:textFill>
            <w14:solidFill>
              <w14:schemeClr w14:val="tx1"/>
            </w14:solidFill>
          </w14:textFill>
        </w:rPr>
        <w:t>1.3</w:t>
      </w:r>
      <w:r>
        <w:rPr>
          <w:rStyle w:val="41"/>
          <w:color w:val="000000" w:themeColor="text1"/>
          <w14:textFill>
            <w14:solidFill>
              <w14:schemeClr w14:val="tx1"/>
            </w14:solidFill>
          </w14:textFill>
        </w:rPr>
        <w:t xml:space="preserve"> 面临挑战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"_Toc80215037" </w:instrText>
      </w:r>
      <w:r>
        <w:fldChar w:fldCharType="separate"/>
      </w:r>
      <w:r>
        <w:rPr>
          <w:rStyle w:val="41"/>
          <w:color w:val="000000" w:themeColor="text1"/>
          <w:kern w:val="0"/>
          <w14:textFill>
            <w14:solidFill>
              <w14:schemeClr w14:val="tx1"/>
            </w14:solidFill>
          </w14:textFill>
        </w:rPr>
        <w:t>1.4</w:t>
      </w:r>
      <w:r>
        <w:rPr>
          <w:rStyle w:val="41"/>
          <w:color w:val="000000" w:themeColor="text1"/>
          <w14:textFill>
            <w14:solidFill>
              <w14:schemeClr w14:val="tx1"/>
            </w14:solidFill>
          </w14:textFill>
        </w:rPr>
        <w:t xml:space="preserve"> 发展机遇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rPr>
          <w:rFonts w:hint="eastAsia"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"_Toc80215038" </w:instrText>
      </w:r>
      <w:r>
        <w:fldChar w:fldCharType="separate"/>
      </w:r>
      <w:r>
        <w:rPr>
          <w:rStyle w:val="41"/>
          <w:color w:val="000000" w:themeColor="text1"/>
          <w14:textFill>
            <w14:solidFill>
              <w14:schemeClr w14:val="tx1"/>
            </w14:solidFill>
          </w14:textFill>
        </w:rPr>
        <w:t>第2章 总体思路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"_Toc80215039" </w:instrText>
      </w:r>
      <w:r>
        <w:fldChar w:fldCharType="separate"/>
      </w:r>
      <w:r>
        <w:rPr>
          <w:rStyle w:val="41"/>
          <w:color w:val="000000" w:themeColor="text1"/>
          <w:kern w:val="0"/>
          <w14:textFill>
            <w14:solidFill>
              <w14:schemeClr w14:val="tx1"/>
            </w14:solidFill>
          </w14:textFill>
        </w:rPr>
        <w:t>2.1</w:t>
      </w:r>
      <w:r>
        <w:rPr>
          <w:rStyle w:val="41"/>
          <w:color w:val="000000" w:themeColor="text1"/>
          <w:shd w:val="clear" w:color="auto" w:fill="FFFFFF"/>
          <w14:textFill>
            <w14:solidFill>
              <w14:schemeClr w14:val="tx1"/>
            </w14:solidFill>
          </w14:textFill>
        </w:rPr>
        <w:t xml:space="preserve"> 战略定位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"_Toc80215040" </w:instrText>
      </w:r>
      <w:r>
        <w:fldChar w:fldCharType="separate"/>
      </w:r>
      <w:r>
        <w:rPr>
          <w:rStyle w:val="41"/>
          <w:color w:val="000000" w:themeColor="text1"/>
          <w:kern w:val="0"/>
          <w14:textFill>
            <w14:solidFill>
              <w14:schemeClr w14:val="tx1"/>
            </w14:solidFill>
          </w14:textFill>
        </w:rPr>
        <w:t>2.2</w:t>
      </w:r>
      <w:r>
        <w:rPr>
          <w:rStyle w:val="41"/>
          <w:color w:val="000000" w:themeColor="text1"/>
          <w14:textFill>
            <w14:solidFill>
              <w14:schemeClr w14:val="tx1"/>
            </w14:solidFill>
          </w14:textFill>
        </w:rPr>
        <w:t xml:space="preserve"> 发展思路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"_Toc80215041" </w:instrText>
      </w:r>
      <w:r>
        <w:fldChar w:fldCharType="separate"/>
      </w:r>
      <w:r>
        <w:rPr>
          <w:rStyle w:val="41"/>
          <w:color w:val="000000" w:themeColor="text1"/>
          <w:kern w:val="0"/>
          <w14:textFill>
            <w14:solidFill>
              <w14:schemeClr w14:val="tx1"/>
            </w14:solidFill>
          </w14:textFill>
        </w:rPr>
        <w:t>2.3</w:t>
      </w:r>
      <w:r>
        <w:rPr>
          <w:rStyle w:val="41"/>
          <w:color w:val="000000" w:themeColor="text1"/>
          <w14:textFill>
            <w14:solidFill>
              <w14:schemeClr w14:val="tx1"/>
            </w14:solidFill>
          </w14:textFill>
        </w:rPr>
        <w:t xml:space="preserve"> 基本原则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"_Toc80215042" </w:instrText>
      </w:r>
      <w:r>
        <w:fldChar w:fldCharType="separate"/>
      </w:r>
      <w:r>
        <w:rPr>
          <w:rStyle w:val="41"/>
          <w:color w:val="000000" w:themeColor="text1"/>
          <w:kern w:val="0"/>
          <w14:textFill>
            <w14:solidFill>
              <w14:schemeClr w14:val="tx1"/>
            </w14:solidFill>
          </w14:textFill>
        </w:rPr>
        <w:t>2.4</w:t>
      </w:r>
      <w:r>
        <w:rPr>
          <w:rStyle w:val="41"/>
          <w:color w:val="000000" w:themeColor="text1"/>
          <w14:textFill>
            <w14:solidFill>
              <w14:schemeClr w14:val="tx1"/>
            </w14:solidFill>
          </w14:textFill>
        </w:rPr>
        <w:t xml:space="preserve"> 发展目标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rPr>
          <w:rFonts w:hint="eastAsia"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"_Toc80215043" </w:instrText>
      </w:r>
      <w:r>
        <w:fldChar w:fldCharType="separate"/>
      </w:r>
      <w:r>
        <w:rPr>
          <w:rStyle w:val="41"/>
          <w:color w:val="000000" w:themeColor="text1"/>
          <w14:textFill>
            <w14:solidFill>
              <w14:schemeClr w14:val="tx1"/>
            </w14:solidFill>
          </w14:textFill>
        </w:rPr>
        <w:t>第3章 统筹优化区域布局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"_Toc80215044" </w:instrText>
      </w:r>
      <w:r>
        <w:fldChar w:fldCharType="separate"/>
      </w:r>
      <w:r>
        <w:rPr>
          <w:rStyle w:val="41"/>
          <w:color w:val="000000" w:themeColor="text1"/>
          <w:kern w:val="0"/>
          <w14:textFill>
            <w14:solidFill>
              <w14:schemeClr w14:val="tx1"/>
            </w14:solidFill>
          </w14:textFill>
        </w:rPr>
        <w:t>3.1</w:t>
      </w:r>
      <w:r>
        <w:rPr>
          <w:rStyle w:val="41"/>
          <w:color w:val="000000" w:themeColor="text1"/>
          <w14:textFill>
            <w14:solidFill>
              <w14:schemeClr w14:val="tx1"/>
            </w14:solidFill>
          </w14:textFill>
        </w:rPr>
        <w:t xml:space="preserve"> 资源环境承载力分析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"_Toc80215045" </w:instrText>
      </w:r>
      <w:r>
        <w:fldChar w:fldCharType="separate"/>
      </w:r>
      <w:r>
        <w:rPr>
          <w:rStyle w:val="41"/>
          <w:color w:val="000000" w:themeColor="text1"/>
          <w:kern w:val="0"/>
          <w14:textFill>
            <w14:solidFill>
              <w14:schemeClr w14:val="tx1"/>
            </w14:solidFill>
          </w14:textFill>
        </w:rPr>
        <w:t>3.2</w:t>
      </w:r>
      <w:r>
        <w:rPr>
          <w:rStyle w:val="41"/>
          <w:color w:val="000000" w:themeColor="text1"/>
          <w14:textFill>
            <w14:solidFill>
              <w14:schemeClr w14:val="tx1"/>
            </w14:solidFill>
          </w14:textFill>
        </w:rPr>
        <w:t xml:space="preserve"> 总体布局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"_Toc80215046" </w:instrText>
      </w:r>
      <w:r>
        <w:fldChar w:fldCharType="separate"/>
      </w:r>
      <w:r>
        <w:rPr>
          <w:rStyle w:val="41"/>
          <w:color w:val="000000" w:themeColor="text1"/>
          <w:kern w:val="0"/>
          <w14:textFill>
            <w14:solidFill>
              <w14:schemeClr w14:val="tx1"/>
            </w14:solidFill>
          </w14:textFill>
        </w:rPr>
        <w:t>3.3</w:t>
      </w:r>
      <w:r>
        <w:rPr>
          <w:rStyle w:val="41"/>
          <w:color w:val="000000" w:themeColor="text1"/>
          <w14:textFill>
            <w14:solidFill>
              <w14:schemeClr w14:val="tx1"/>
            </w14:solidFill>
          </w14:textFill>
        </w:rPr>
        <w:t xml:space="preserve"> 产业布局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rPr>
          <w:rFonts w:hint="eastAsia"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"_Toc80215047" </w:instrText>
      </w:r>
      <w:r>
        <w:fldChar w:fldCharType="separate"/>
      </w:r>
      <w:r>
        <w:rPr>
          <w:rStyle w:val="41"/>
          <w:color w:val="000000" w:themeColor="text1"/>
          <w14:textFill>
            <w14:solidFill>
              <w14:schemeClr w14:val="tx1"/>
            </w14:solidFill>
          </w14:textFill>
        </w:rPr>
        <w:t>第4章 加强优势奶源基地建设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"_Toc80215048" </w:instrText>
      </w:r>
      <w:r>
        <w:fldChar w:fldCharType="separate"/>
      </w:r>
      <w:r>
        <w:rPr>
          <w:rStyle w:val="41"/>
          <w:color w:val="000000" w:themeColor="text1"/>
          <w:kern w:val="0"/>
          <w14:textFill>
            <w14:solidFill>
              <w14:schemeClr w14:val="tx1"/>
            </w14:solidFill>
          </w14:textFill>
        </w:rPr>
        <w:t>4.1</w:t>
      </w:r>
      <w:r>
        <w:rPr>
          <w:rStyle w:val="41"/>
          <w:color w:val="000000" w:themeColor="text1"/>
          <w14:textFill>
            <w14:solidFill>
              <w14:schemeClr w14:val="tx1"/>
            </w14:solidFill>
          </w14:textFill>
        </w:rPr>
        <w:t xml:space="preserve"> 建设国家级现代种源基地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"_Toc80215049" </w:instrText>
      </w:r>
      <w:r>
        <w:fldChar w:fldCharType="separate"/>
      </w:r>
      <w:r>
        <w:rPr>
          <w:rStyle w:val="41"/>
          <w:color w:val="000000" w:themeColor="text1"/>
          <w:kern w:val="0"/>
          <w14:textFill>
            <w14:solidFill>
              <w14:schemeClr w14:val="tx1"/>
            </w14:solidFill>
          </w14:textFill>
        </w:rPr>
        <w:t>4.2</w:t>
      </w:r>
      <w:r>
        <w:rPr>
          <w:rStyle w:val="41"/>
          <w:color w:val="000000" w:themeColor="text1"/>
          <w14:textFill>
            <w14:solidFill>
              <w14:schemeClr w14:val="tx1"/>
            </w14:solidFill>
          </w14:textFill>
        </w:rPr>
        <w:t xml:space="preserve"> 增强奶源供应能力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"_Toc80215050" </w:instrText>
      </w:r>
      <w:r>
        <w:fldChar w:fldCharType="separate"/>
      </w:r>
      <w:r>
        <w:rPr>
          <w:rStyle w:val="41"/>
          <w:color w:val="000000" w:themeColor="text1"/>
          <w:kern w:val="0"/>
          <w14:textFill>
            <w14:solidFill>
              <w14:schemeClr w14:val="tx1"/>
            </w14:solidFill>
          </w14:textFill>
        </w:rPr>
        <w:t>4.3</w:t>
      </w:r>
      <w:r>
        <w:rPr>
          <w:rStyle w:val="41"/>
          <w:color w:val="000000" w:themeColor="text1"/>
          <w14:textFill>
            <w14:solidFill>
              <w14:schemeClr w14:val="tx1"/>
            </w14:solidFill>
          </w14:textFill>
        </w:rPr>
        <w:t xml:space="preserve"> 增强优质饲草料供应水平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rPr>
          <w:rFonts w:hint="eastAsia"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"_Toc80215051" </w:instrText>
      </w:r>
      <w:r>
        <w:fldChar w:fldCharType="separate"/>
      </w:r>
      <w:r>
        <w:rPr>
          <w:rStyle w:val="41"/>
          <w:color w:val="000000" w:themeColor="text1"/>
          <w:kern w:val="0"/>
          <w14:textFill>
            <w14:solidFill>
              <w14:schemeClr w14:val="tx1"/>
            </w14:solidFill>
          </w14:textFill>
        </w:rPr>
        <w:t>第5章</w:t>
      </w:r>
      <w:r>
        <w:rPr>
          <w:rStyle w:val="41"/>
          <w:color w:val="000000" w:themeColor="text1"/>
          <w14:textFill>
            <w14:solidFill>
              <w14:schemeClr w14:val="tx1"/>
            </w14:solidFill>
          </w14:textFill>
        </w:rPr>
        <w:t xml:space="preserve"> 大力推进</w:t>
      </w:r>
      <w:r>
        <w:rPr>
          <w:rStyle w:val="41"/>
          <w:color w:val="000000" w:themeColor="text1"/>
          <w:kern w:val="0"/>
          <w14:textFill>
            <w14:solidFill>
              <w14:schemeClr w14:val="tx1"/>
            </w14:solidFill>
          </w14:textFill>
        </w:rPr>
        <w:t>现代乳业绿色发展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"_Toc80215052" </w:instrText>
      </w:r>
      <w:r>
        <w:fldChar w:fldCharType="separate"/>
      </w:r>
      <w:r>
        <w:rPr>
          <w:rStyle w:val="41"/>
          <w:color w:val="000000" w:themeColor="text1"/>
          <w:kern w:val="0"/>
          <w14:textFill>
            <w14:solidFill>
              <w14:schemeClr w14:val="tx1"/>
            </w14:solidFill>
          </w14:textFill>
        </w:rPr>
        <w:t>5.1</w:t>
      </w:r>
      <w:r>
        <w:rPr>
          <w:rStyle w:val="41"/>
          <w:color w:val="000000" w:themeColor="text1"/>
          <w:shd w:val="clear" w:color="auto" w:fill="FFFFFF"/>
          <w14:textFill>
            <w14:solidFill>
              <w14:schemeClr w14:val="tx1"/>
            </w14:solidFill>
          </w14:textFill>
        </w:rPr>
        <w:t xml:space="preserve"> 强化奶畜健康管理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"_Toc80215053" </w:instrText>
      </w:r>
      <w:r>
        <w:fldChar w:fldCharType="separate"/>
      </w:r>
      <w:r>
        <w:rPr>
          <w:rStyle w:val="41"/>
          <w:color w:val="000000" w:themeColor="text1"/>
          <w:kern w:val="0"/>
          <w14:textFill>
            <w14:solidFill>
              <w14:schemeClr w14:val="tx1"/>
            </w14:solidFill>
          </w14:textFill>
        </w:rPr>
        <w:t>5.2</w:t>
      </w:r>
      <w:r>
        <w:rPr>
          <w:rStyle w:val="41"/>
          <w:color w:val="000000" w:themeColor="text1"/>
          <w:shd w:val="clear" w:color="auto" w:fill="FFFFFF"/>
          <w14:textFill>
            <w14:solidFill>
              <w14:schemeClr w14:val="tx1"/>
            </w14:solidFill>
          </w14:textFill>
        </w:rPr>
        <w:t xml:space="preserve"> 加强养殖废弃物处理利用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"_Toc80215054" </w:instrText>
      </w:r>
      <w:r>
        <w:fldChar w:fldCharType="separate"/>
      </w:r>
      <w:r>
        <w:rPr>
          <w:rStyle w:val="41"/>
          <w:color w:val="000000" w:themeColor="text1"/>
          <w:kern w:val="0"/>
          <w14:textFill>
            <w14:solidFill>
              <w14:schemeClr w14:val="tx1"/>
            </w14:solidFill>
          </w14:textFill>
        </w:rPr>
        <w:t>5.3</w:t>
      </w:r>
      <w:r>
        <w:rPr>
          <w:rStyle w:val="41"/>
          <w:color w:val="000000" w:themeColor="text1"/>
          <w:shd w:val="clear" w:color="auto" w:fill="FFFFFF"/>
          <w14:textFill>
            <w14:solidFill>
              <w14:schemeClr w14:val="tx1"/>
            </w14:solidFill>
          </w14:textFill>
        </w:rPr>
        <w:t xml:space="preserve"> 推进乳业全产业链低碳减排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rPr>
          <w:rFonts w:hint="eastAsia"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"_Toc80215055" </w:instrText>
      </w:r>
      <w:r>
        <w:fldChar w:fldCharType="separate"/>
      </w:r>
      <w:r>
        <w:rPr>
          <w:rStyle w:val="41"/>
          <w:color w:val="000000" w:themeColor="text1"/>
          <w14:textFill>
            <w14:solidFill>
              <w14:schemeClr w14:val="tx1"/>
            </w14:solidFill>
          </w14:textFill>
        </w:rPr>
        <w:t>第6章 打造现代乳业全链条产业集群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"_Toc80215056" </w:instrText>
      </w:r>
      <w:r>
        <w:fldChar w:fldCharType="separate"/>
      </w:r>
      <w:r>
        <w:rPr>
          <w:rStyle w:val="41"/>
          <w:color w:val="000000" w:themeColor="text1"/>
          <w:kern w:val="0"/>
          <w14:textFill>
            <w14:solidFill>
              <w14:schemeClr w14:val="tx1"/>
            </w14:solidFill>
          </w14:textFill>
        </w:rPr>
        <w:t>6.1</w:t>
      </w:r>
      <w:r>
        <w:rPr>
          <w:rStyle w:val="41"/>
          <w:color w:val="000000" w:themeColor="text1"/>
          <w14:textFill>
            <w14:solidFill>
              <w14:schemeClr w14:val="tx1"/>
            </w14:solidFill>
          </w14:textFill>
        </w:rPr>
        <w:t xml:space="preserve"> 推进龙头企业加工提质增量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"_Toc80215057" </w:instrText>
      </w:r>
      <w:r>
        <w:fldChar w:fldCharType="separate"/>
      </w:r>
      <w:r>
        <w:rPr>
          <w:rStyle w:val="41"/>
          <w:color w:val="000000" w:themeColor="text1"/>
          <w:kern w:val="0"/>
          <w14:textFill>
            <w14:solidFill>
              <w14:schemeClr w14:val="tx1"/>
            </w14:solidFill>
          </w14:textFill>
        </w:rPr>
        <w:t>6.2</w:t>
      </w:r>
      <w:r>
        <w:rPr>
          <w:rStyle w:val="41"/>
          <w:color w:val="000000" w:themeColor="text1"/>
          <w:shd w:val="clear" w:color="auto" w:fill="FFFFFF"/>
          <w14:textFill>
            <w14:solidFill>
              <w14:schemeClr w14:val="tx1"/>
            </w14:solidFill>
          </w14:textFill>
        </w:rPr>
        <w:t xml:space="preserve"> 提升中小乳企业生产加工水平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"_Toc80215058" </w:instrText>
      </w:r>
      <w:r>
        <w:fldChar w:fldCharType="separate"/>
      </w:r>
      <w:r>
        <w:rPr>
          <w:rStyle w:val="41"/>
          <w:color w:val="000000" w:themeColor="text1"/>
          <w:kern w:val="0"/>
          <w14:textFill>
            <w14:solidFill>
              <w14:schemeClr w14:val="tx1"/>
            </w14:solidFill>
          </w14:textFill>
        </w:rPr>
        <w:t>6.3</w:t>
      </w:r>
      <w:r>
        <w:rPr>
          <w:rStyle w:val="41"/>
          <w:color w:val="000000" w:themeColor="text1"/>
          <w14:textFill>
            <w14:solidFill>
              <w14:schemeClr w14:val="tx1"/>
            </w14:solidFill>
          </w14:textFill>
        </w:rPr>
        <w:t xml:space="preserve"> 打造乳业智能冷链物流体系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"_Toc80215059" </w:instrText>
      </w:r>
      <w:r>
        <w:fldChar w:fldCharType="separate"/>
      </w:r>
      <w:r>
        <w:rPr>
          <w:rStyle w:val="41"/>
          <w:color w:val="000000" w:themeColor="text1"/>
          <w:kern w:val="0"/>
          <w14:textFill>
            <w14:solidFill>
              <w14:schemeClr w14:val="tx1"/>
            </w14:solidFill>
          </w14:textFill>
        </w:rPr>
        <w:t>6.4</w:t>
      </w:r>
      <w:r>
        <w:rPr>
          <w:rStyle w:val="41"/>
          <w:color w:val="000000" w:themeColor="text1"/>
          <w14:textFill>
            <w14:solidFill>
              <w14:schemeClr w14:val="tx1"/>
            </w14:solidFill>
          </w14:textFill>
        </w:rPr>
        <w:t xml:space="preserve"> 做大智能制造业发展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"_Toc80215060" </w:instrText>
      </w:r>
      <w:r>
        <w:fldChar w:fldCharType="separate"/>
      </w:r>
      <w:r>
        <w:rPr>
          <w:rStyle w:val="41"/>
          <w:color w:val="000000" w:themeColor="text1"/>
          <w:kern w:val="0"/>
          <w14:textFill>
            <w14:solidFill>
              <w14:schemeClr w14:val="tx1"/>
            </w14:solidFill>
          </w14:textFill>
        </w:rPr>
        <w:t>6.5</w:t>
      </w:r>
      <w:r>
        <w:rPr>
          <w:rStyle w:val="41"/>
          <w:color w:val="000000" w:themeColor="text1"/>
          <w14:textFill>
            <w14:solidFill>
              <w14:schemeClr w14:val="tx1"/>
            </w14:solidFill>
          </w14:textFill>
        </w:rPr>
        <w:t xml:space="preserve"> 加强乳旅融合发展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rPr>
          <w:rFonts w:hint="eastAsia"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"_Toc80215061" </w:instrText>
      </w:r>
      <w:r>
        <w:fldChar w:fldCharType="separate"/>
      </w:r>
      <w:r>
        <w:rPr>
          <w:rStyle w:val="41"/>
          <w:color w:val="000000" w:themeColor="text1"/>
          <w14:textFill>
            <w14:solidFill>
              <w14:schemeClr w14:val="tx1"/>
            </w14:solidFill>
          </w14:textFill>
        </w:rPr>
        <w:t>第7章 打造国家乳业科技创新平台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"_Toc80215062" </w:instrText>
      </w:r>
      <w:r>
        <w:fldChar w:fldCharType="separate"/>
      </w:r>
      <w:r>
        <w:rPr>
          <w:rStyle w:val="41"/>
          <w:color w:val="000000" w:themeColor="text1"/>
          <w:kern w:val="0"/>
          <w14:textFill>
            <w14:solidFill>
              <w14:schemeClr w14:val="tx1"/>
            </w14:solidFill>
          </w14:textFill>
        </w:rPr>
        <w:t>7.1</w:t>
      </w:r>
      <w:r>
        <w:rPr>
          <w:rStyle w:val="41"/>
          <w:color w:val="000000" w:themeColor="text1"/>
          <w14:textFill>
            <w14:solidFill>
              <w14:schemeClr w14:val="tx1"/>
            </w14:solidFill>
          </w14:textFill>
        </w:rPr>
        <w:t xml:space="preserve"> 建设国家科技创新中心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"_Toc80215063" </w:instrText>
      </w:r>
      <w:r>
        <w:fldChar w:fldCharType="separate"/>
      </w:r>
      <w:r>
        <w:rPr>
          <w:rStyle w:val="41"/>
          <w:color w:val="000000" w:themeColor="text1"/>
          <w:kern w:val="0"/>
          <w14:textFill>
            <w14:solidFill>
              <w14:schemeClr w14:val="tx1"/>
            </w14:solidFill>
          </w14:textFill>
        </w:rPr>
        <w:t>7.2</w:t>
      </w:r>
      <w:r>
        <w:rPr>
          <w:rStyle w:val="41"/>
          <w:color w:val="000000" w:themeColor="text1"/>
          <w:shd w:val="clear" w:color="auto" w:fill="FFFFFF"/>
          <w14:textFill>
            <w14:solidFill>
              <w14:schemeClr w14:val="tx1"/>
            </w14:solidFill>
          </w14:textFill>
        </w:rPr>
        <w:t xml:space="preserve"> 加强奶业关键技术攻关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"_Toc80215064" </w:instrText>
      </w:r>
      <w:r>
        <w:fldChar w:fldCharType="separate"/>
      </w:r>
      <w:r>
        <w:rPr>
          <w:rStyle w:val="41"/>
          <w:color w:val="000000" w:themeColor="text1"/>
          <w:kern w:val="0"/>
          <w14:textFill>
            <w14:solidFill>
              <w14:schemeClr w14:val="tx1"/>
            </w14:solidFill>
          </w14:textFill>
        </w:rPr>
        <w:t>7.3</w:t>
      </w:r>
      <w:r>
        <w:rPr>
          <w:rStyle w:val="41"/>
          <w:color w:val="000000" w:themeColor="text1"/>
          <w14:textFill>
            <w14:solidFill>
              <w14:schemeClr w14:val="tx1"/>
            </w14:solidFill>
          </w14:textFill>
        </w:rPr>
        <w:t xml:space="preserve"> 强化现代乳业科技服务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rPr>
          <w:rFonts w:hint="eastAsia"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"_Toc80215065" </w:instrText>
      </w:r>
      <w:r>
        <w:fldChar w:fldCharType="separate"/>
      </w:r>
      <w:r>
        <w:rPr>
          <w:rStyle w:val="41"/>
          <w:color w:val="000000" w:themeColor="text1"/>
          <w14:textFill>
            <w14:solidFill>
              <w14:schemeClr w14:val="tx1"/>
            </w14:solidFill>
          </w14:textFill>
        </w:rPr>
        <w:t>第8章 强化支撑保障体系建设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"_Toc80215066" </w:instrText>
      </w:r>
      <w:r>
        <w:fldChar w:fldCharType="separate"/>
      </w:r>
      <w:r>
        <w:rPr>
          <w:rStyle w:val="41"/>
          <w:color w:val="000000" w:themeColor="text1"/>
          <w:kern w:val="0"/>
          <w14:textFill>
            <w14:solidFill>
              <w14:schemeClr w14:val="tx1"/>
            </w14:solidFill>
          </w14:textFill>
        </w:rPr>
        <w:t>8.1</w:t>
      </w:r>
      <w:r>
        <w:rPr>
          <w:rStyle w:val="41"/>
          <w:color w:val="000000" w:themeColor="text1"/>
          <w14:textFill>
            <w14:solidFill>
              <w14:schemeClr w14:val="tx1"/>
            </w14:solidFill>
          </w14:textFill>
        </w:rPr>
        <w:t xml:space="preserve"> 强化质量安全监管体系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"_Toc80215067" </w:instrText>
      </w:r>
      <w:r>
        <w:fldChar w:fldCharType="separate"/>
      </w:r>
      <w:r>
        <w:rPr>
          <w:rStyle w:val="41"/>
          <w:color w:val="000000" w:themeColor="text1"/>
          <w:kern w:val="0"/>
          <w14:textFill>
            <w14:solidFill>
              <w14:schemeClr w14:val="tx1"/>
            </w14:solidFill>
          </w14:textFill>
        </w:rPr>
        <w:t>8.2</w:t>
      </w:r>
      <w:r>
        <w:rPr>
          <w:rStyle w:val="41"/>
          <w:color w:val="000000" w:themeColor="text1"/>
          <w14:textFill>
            <w14:solidFill>
              <w14:schemeClr w14:val="tx1"/>
            </w14:solidFill>
          </w14:textFill>
        </w:rPr>
        <w:t xml:space="preserve"> 完善市场交易服务体系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"_Toc80215068" </w:instrText>
      </w:r>
      <w:r>
        <w:fldChar w:fldCharType="separate"/>
      </w:r>
      <w:r>
        <w:rPr>
          <w:rStyle w:val="41"/>
          <w:color w:val="000000" w:themeColor="text1"/>
          <w:kern w:val="0"/>
          <w14:textFill>
            <w14:solidFill>
              <w14:schemeClr w14:val="tx1"/>
            </w14:solidFill>
          </w14:textFill>
        </w:rPr>
        <w:t>8.3</w:t>
      </w:r>
      <w:r>
        <w:rPr>
          <w:rStyle w:val="41"/>
          <w:color w:val="000000" w:themeColor="text1"/>
          <w14:textFill>
            <w14:solidFill>
              <w14:schemeClr w14:val="tx1"/>
            </w14:solidFill>
          </w14:textFill>
        </w:rPr>
        <w:t xml:space="preserve"> 完善政策支持体系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"_Toc80215069" </w:instrText>
      </w:r>
      <w:r>
        <w:fldChar w:fldCharType="separate"/>
      </w:r>
      <w:r>
        <w:rPr>
          <w:rStyle w:val="41"/>
          <w:color w:val="000000" w:themeColor="text1"/>
          <w:kern w:val="0"/>
          <w14:textFill>
            <w14:solidFill>
              <w14:schemeClr w14:val="tx1"/>
            </w14:solidFill>
          </w14:textFill>
        </w:rPr>
        <w:t>8.4</w:t>
      </w:r>
      <w:r>
        <w:rPr>
          <w:rStyle w:val="41"/>
          <w:color w:val="000000" w:themeColor="text1"/>
          <w14:textFill>
            <w14:solidFill>
              <w14:schemeClr w14:val="tx1"/>
            </w14:solidFill>
          </w14:textFill>
        </w:rPr>
        <w:t xml:space="preserve"> 提升优势品牌影响力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"_Toc80215070" </w:instrText>
      </w:r>
      <w:r>
        <w:fldChar w:fldCharType="separate"/>
      </w:r>
      <w:r>
        <w:rPr>
          <w:rStyle w:val="41"/>
          <w:color w:val="000000" w:themeColor="text1"/>
          <w:kern w:val="0"/>
          <w14:textFill>
            <w14:solidFill>
              <w14:schemeClr w14:val="tx1"/>
            </w14:solidFill>
          </w14:textFill>
        </w:rPr>
        <w:t>8.5</w:t>
      </w:r>
      <w:r>
        <w:rPr>
          <w:rStyle w:val="41"/>
          <w:color w:val="000000" w:themeColor="text1"/>
          <w14:textFill>
            <w14:solidFill>
              <w14:schemeClr w14:val="tx1"/>
            </w14:solidFill>
          </w14:textFill>
        </w:rPr>
        <w:t xml:space="preserve"> 完善农企利益联结机制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rPr>
          <w:rFonts w:hint="eastAsia"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"_Toc80215071" </w:instrText>
      </w:r>
      <w:r>
        <w:fldChar w:fldCharType="separate"/>
      </w:r>
      <w:r>
        <w:rPr>
          <w:rStyle w:val="41"/>
          <w:color w:val="000000" w:themeColor="text1"/>
          <w14:textFill>
            <w14:solidFill>
              <w14:schemeClr w14:val="tx1"/>
            </w14:solidFill>
          </w14:textFill>
        </w:rPr>
        <w:t>第9章 重点工程及投资测算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"_Toc80215072" </w:instrText>
      </w:r>
      <w:r>
        <w:fldChar w:fldCharType="separate"/>
      </w:r>
      <w:r>
        <w:rPr>
          <w:rStyle w:val="41"/>
          <w:color w:val="000000" w:themeColor="text1"/>
          <w:kern w:val="0"/>
          <w14:textFill>
            <w14:solidFill>
              <w14:schemeClr w14:val="tx1"/>
            </w14:solidFill>
          </w14:textFill>
        </w:rPr>
        <w:t>9.1</w:t>
      </w:r>
      <w:r>
        <w:rPr>
          <w:rStyle w:val="41"/>
          <w:color w:val="000000" w:themeColor="text1"/>
          <w14:textFill>
            <w14:solidFill>
              <w14:schemeClr w14:val="tx1"/>
            </w14:solidFill>
          </w14:textFill>
        </w:rPr>
        <w:t xml:space="preserve"> 重点工程及投资测算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"_Toc80215073" </w:instrText>
      </w:r>
      <w:r>
        <w:fldChar w:fldCharType="separate"/>
      </w:r>
      <w:r>
        <w:rPr>
          <w:rStyle w:val="41"/>
          <w:color w:val="000000" w:themeColor="text1"/>
          <w:kern w:val="0"/>
          <w14:textFill>
            <w14:solidFill>
              <w14:schemeClr w14:val="tx1"/>
            </w14:solidFill>
          </w14:textFill>
        </w:rPr>
        <w:t>9.2</w:t>
      </w:r>
      <w:r>
        <w:rPr>
          <w:rStyle w:val="41"/>
          <w:color w:val="000000" w:themeColor="text1"/>
          <w14:textFill>
            <w14:solidFill>
              <w14:schemeClr w14:val="tx1"/>
            </w14:solidFill>
          </w14:textFill>
        </w:rPr>
        <w:t xml:space="preserve"> 效益分析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rPr>
          <w:rFonts w:hint="eastAsia"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"_Toc80215074" </w:instrText>
      </w:r>
      <w:r>
        <w:fldChar w:fldCharType="separate"/>
      </w:r>
      <w:r>
        <w:rPr>
          <w:rStyle w:val="41"/>
          <w:color w:val="000000" w:themeColor="text1"/>
          <w14:textFill>
            <w14:solidFill>
              <w14:schemeClr w14:val="tx1"/>
            </w14:solidFill>
          </w14:textFill>
        </w:rPr>
        <w:t>第10章 环境影响分析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"_Toc80215075" </w:instrText>
      </w:r>
      <w:r>
        <w:fldChar w:fldCharType="separate"/>
      </w:r>
      <w:r>
        <w:rPr>
          <w:rStyle w:val="41"/>
          <w:color w:val="000000" w:themeColor="text1"/>
          <w:kern w:val="0"/>
          <w14:textFill>
            <w14:solidFill>
              <w14:schemeClr w14:val="tx1"/>
            </w14:solidFill>
          </w14:textFill>
        </w:rPr>
        <w:t>10.1</w:t>
      </w:r>
      <w:r>
        <w:rPr>
          <w:rStyle w:val="41"/>
          <w:color w:val="000000" w:themeColor="text1"/>
          <w14:textFill>
            <w14:solidFill>
              <w14:schemeClr w14:val="tx1"/>
            </w14:solidFill>
          </w14:textFill>
        </w:rPr>
        <w:t xml:space="preserve"> 规划环境影响因素分析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"_Toc80215076" </w:instrText>
      </w:r>
      <w:r>
        <w:fldChar w:fldCharType="separate"/>
      </w:r>
      <w:r>
        <w:rPr>
          <w:rStyle w:val="41"/>
          <w:color w:val="000000" w:themeColor="text1"/>
          <w:kern w:val="0"/>
          <w14:textFill>
            <w14:solidFill>
              <w14:schemeClr w14:val="tx1"/>
            </w14:solidFill>
          </w14:textFill>
        </w:rPr>
        <w:t>10.2</w:t>
      </w:r>
      <w:r>
        <w:rPr>
          <w:rStyle w:val="41"/>
          <w:color w:val="000000" w:themeColor="text1"/>
          <w14:textFill>
            <w14:solidFill>
              <w14:schemeClr w14:val="tx1"/>
            </w14:solidFill>
          </w14:textFill>
        </w:rPr>
        <w:t xml:space="preserve"> 环境污染预防对策措施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rPr>
          <w:rFonts w:hint="eastAsia"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"_Toc80215077" </w:instrText>
      </w:r>
      <w:r>
        <w:fldChar w:fldCharType="separate"/>
      </w:r>
      <w:r>
        <w:rPr>
          <w:rStyle w:val="41"/>
          <w:color w:val="000000" w:themeColor="text1"/>
          <w14:textFill>
            <w14:solidFill>
              <w14:schemeClr w14:val="tx1"/>
            </w14:solidFill>
          </w14:textFill>
        </w:rPr>
        <w:t>第11章 保障措施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"_Toc80215078" </w:instrText>
      </w:r>
      <w:r>
        <w:fldChar w:fldCharType="separate"/>
      </w:r>
      <w:r>
        <w:rPr>
          <w:rStyle w:val="41"/>
          <w:color w:val="000000" w:themeColor="text1"/>
          <w:kern w:val="0"/>
          <w14:textFill>
            <w14:solidFill>
              <w14:schemeClr w14:val="tx1"/>
            </w14:solidFill>
          </w14:textFill>
        </w:rPr>
        <w:t>11.1</w:t>
      </w:r>
      <w:r>
        <w:rPr>
          <w:rStyle w:val="41"/>
          <w:color w:val="000000" w:themeColor="text1"/>
          <w14:textFill>
            <w14:solidFill>
              <w14:schemeClr w14:val="tx1"/>
            </w14:solidFill>
          </w14:textFill>
        </w:rPr>
        <w:t xml:space="preserve"> 加强组织领导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"_Toc80215079" </w:instrText>
      </w:r>
      <w:r>
        <w:fldChar w:fldCharType="separate"/>
      </w:r>
      <w:r>
        <w:rPr>
          <w:rStyle w:val="41"/>
          <w:color w:val="000000" w:themeColor="text1"/>
          <w:kern w:val="0"/>
          <w14:textFill>
            <w14:solidFill>
              <w14:schemeClr w14:val="tx1"/>
            </w14:solidFill>
          </w14:textFill>
        </w:rPr>
        <w:t>11.2</w:t>
      </w:r>
      <w:r>
        <w:rPr>
          <w:rStyle w:val="41"/>
          <w:color w:val="000000" w:themeColor="text1"/>
          <w14:textFill>
            <w14:solidFill>
              <w14:schemeClr w14:val="tx1"/>
            </w14:solidFill>
          </w14:textFill>
        </w:rPr>
        <w:t xml:space="preserve"> 完善政策扶持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"_Toc80215080" </w:instrText>
      </w:r>
      <w:r>
        <w:fldChar w:fldCharType="separate"/>
      </w:r>
      <w:r>
        <w:rPr>
          <w:rStyle w:val="41"/>
          <w:color w:val="000000" w:themeColor="text1"/>
          <w:kern w:val="0"/>
          <w14:textFill>
            <w14:solidFill>
              <w14:schemeClr w14:val="tx1"/>
            </w14:solidFill>
          </w14:textFill>
        </w:rPr>
        <w:t>11.3</w:t>
      </w:r>
      <w:r>
        <w:rPr>
          <w:rStyle w:val="41"/>
          <w:color w:val="000000" w:themeColor="text1"/>
          <w14:textFill>
            <w14:solidFill>
              <w14:schemeClr w14:val="tx1"/>
            </w14:solidFill>
          </w14:textFill>
        </w:rPr>
        <w:t xml:space="preserve"> 加强依法治理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"_Toc80215081" </w:instrText>
      </w:r>
      <w:r>
        <w:fldChar w:fldCharType="separate"/>
      </w:r>
      <w:r>
        <w:rPr>
          <w:rStyle w:val="41"/>
          <w:color w:val="000000" w:themeColor="text1"/>
          <w:kern w:val="0"/>
          <w14:textFill>
            <w14:solidFill>
              <w14:schemeClr w14:val="tx1"/>
            </w14:solidFill>
          </w14:textFill>
        </w:rPr>
        <w:t>11.4</w:t>
      </w:r>
      <w:r>
        <w:rPr>
          <w:rStyle w:val="41"/>
          <w:color w:val="000000" w:themeColor="text1"/>
          <w14:textFill>
            <w14:solidFill>
              <w14:schemeClr w14:val="tx1"/>
            </w14:solidFill>
          </w14:textFill>
        </w:rPr>
        <w:t xml:space="preserve"> 强化宣传引导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rPr>
          <w:rFonts w:hint="eastAsia"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"_Toc80215082" </w:instrText>
      </w:r>
      <w:r>
        <w:fldChar w:fldCharType="separate"/>
      </w:r>
      <w:r>
        <w:rPr>
          <w:rStyle w:val="41"/>
          <w:color w:val="000000" w:themeColor="text1"/>
          <w14:textFill>
            <w14:solidFill>
              <w14:schemeClr w14:val="tx1"/>
            </w14:solidFill>
          </w14:textFill>
        </w:rPr>
        <w:t>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"_Toc80215083" </w:instrText>
      </w:r>
      <w:r>
        <w:fldChar w:fldCharType="separate"/>
      </w:r>
      <w:r>
        <w:rPr>
          <w:rStyle w:val="41"/>
          <w:color w:val="000000" w:themeColor="text1"/>
          <w14:textFill>
            <w14:solidFill>
              <w14:schemeClr w14:val="tx1"/>
            </w14:solidFill>
          </w14:textFill>
        </w:rPr>
        <w:t>附件1</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rPr>
          <w:rFonts w:hint="eastAsia"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"_Toc80215084" </w:instrText>
      </w:r>
      <w:r>
        <w:fldChar w:fldCharType="separate"/>
      </w:r>
      <w:r>
        <w:rPr>
          <w:rStyle w:val="41"/>
          <w:color w:val="000000" w:themeColor="text1"/>
          <w14:textFill>
            <w14:solidFill>
              <w14:schemeClr w14:val="tx1"/>
            </w14:solidFill>
          </w14:textFill>
        </w:rPr>
        <w:t>附件2</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_Toc80215084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ind w:left="0" w:leftChars="0"/>
        <w:rPr>
          <w:b/>
          <w:bCs/>
          <w:color w:val="000000" w:themeColor="text1"/>
          <w14:textFill>
            <w14:solidFill>
              <w14:schemeClr w14:val="tx1"/>
            </w14:solidFill>
          </w14:textFill>
        </w:rPr>
      </w:pPr>
      <w:r>
        <w:rPr>
          <w:color w:val="000000" w:themeColor="text1"/>
          <w14:textFill>
            <w14:solidFill>
              <w14:schemeClr w14:val="tx1"/>
            </w14:solidFill>
          </w14:textFill>
        </w:rPr>
        <w:fldChar w:fldCharType="end"/>
      </w:r>
      <w:r>
        <w:rPr>
          <w:rFonts w:hint="eastAsia"/>
          <w:b/>
          <w:bCs/>
          <w:color w:val="000000" w:themeColor="text1"/>
          <w14:textFill>
            <w14:solidFill>
              <w14:schemeClr w14:val="tx1"/>
            </w14:solidFill>
          </w14:textFill>
        </w:rPr>
        <w:t>附图</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附图1</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区位优势图</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附图2</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平面布局图</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附图3</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国家级现代种源基地</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附图4</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数字化牧场布局图</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附图5</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优质牧草基地布局图</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附图6</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乳产品加工物流布局图</w:t>
      </w:r>
    </w:p>
    <w:p>
      <w:pPr>
        <w:ind w:firstLine="560"/>
        <w:jc w:val="center"/>
        <w:rPr>
          <w:color w:val="000000" w:themeColor="text1"/>
          <w14:textFill>
            <w14:solidFill>
              <w14:schemeClr w14:val="tx1"/>
            </w14:solidFill>
          </w14:textFill>
        </w:rPr>
        <w:sectPr>
          <w:footerReference r:id="rId11" w:type="default"/>
          <w:pgSz w:w="11906" w:h="16838"/>
          <w:pgMar w:top="1440" w:right="1797" w:bottom="1440" w:left="1797" w:header="851" w:footer="992" w:gutter="0"/>
          <w:pgNumType w:fmt="upperRoman"/>
          <w:cols w:space="425" w:num="1"/>
          <w:docGrid w:type="lines" w:linePitch="312" w:charSpace="0"/>
        </w:sectPr>
      </w:pPr>
    </w:p>
    <w:p>
      <w:pPr>
        <w:pStyle w:val="56"/>
        <w:ind w:firstLine="0" w:firstLineChars="0"/>
        <w:jc w:val="center"/>
        <w:outlineLvl w:val="0"/>
        <w:rPr>
          <w:b/>
          <w:bCs/>
          <w:color w:val="000000" w:themeColor="text1"/>
          <w:sz w:val="44"/>
          <w:szCs w:val="44"/>
          <w14:textFill>
            <w14:solidFill>
              <w14:schemeClr w14:val="tx1"/>
            </w14:solidFill>
          </w14:textFill>
        </w:rPr>
      </w:pPr>
      <w:bookmarkStart w:id="1" w:name="_Toc80215032"/>
      <w:r>
        <w:rPr>
          <w:rFonts w:hint="eastAsia"/>
          <w:b/>
          <w:bCs/>
          <w:color w:val="000000" w:themeColor="text1"/>
          <w:sz w:val="44"/>
          <w:szCs w:val="44"/>
          <w14:textFill>
            <w14:solidFill>
              <w14:schemeClr w14:val="tx1"/>
            </w14:solidFill>
          </w14:textFill>
        </w:rPr>
        <w:t xml:space="preserve">前 </w:t>
      </w:r>
      <w:r>
        <w:rPr>
          <w:b/>
          <w:bCs/>
          <w:color w:val="000000" w:themeColor="text1"/>
          <w:sz w:val="44"/>
          <w:szCs w:val="44"/>
          <w14:textFill>
            <w14:solidFill>
              <w14:schemeClr w14:val="tx1"/>
            </w14:solidFill>
          </w14:textFill>
        </w:rPr>
        <w:t xml:space="preserve"> </w:t>
      </w:r>
      <w:r>
        <w:rPr>
          <w:rFonts w:hint="eastAsia"/>
          <w:b/>
          <w:bCs/>
          <w:color w:val="000000" w:themeColor="text1"/>
          <w:sz w:val="44"/>
          <w:szCs w:val="44"/>
          <w14:textFill>
            <w14:solidFill>
              <w14:schemeClr w14:val="tx1"/>
            </w14:solidFill>
          </w14:textFill>
        </w:rPr>
        <w:t>言</w:t>
      </w:r>
      <w:bookmarkEnd w:id="1"/>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奶业惠及亿万人民的身体健康，是关系国计民生的战略性产业。党中央、国务院高度重视奶业振兴和发展，习近平总书记多次作出重要指示批示，明确要求下决心把奶业做强做优，生产出让人民群众满意、放心的高品质乳业产品，打造出具有国际竞争力的乳业产业，培育出具有世界知名度的乳业品牌，实现奶业全面振兴。李克强总理指出，要加快推进奶业振兴，保障乳品特别是婴幼儿乳粉的质量安全，提升中国奶业竞争力。2018年6月，国务院办公厅印发了《关于推进奶业振兴保障乳品质量安全的意见》，为全国奶业振兴发展绘出了蓝图，指明了方向和路径。同年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月，农业农村部等九部委联合印发《关于进一步促进奶业振兴的若干意见》提出，力争到2025年全国奶类产量达到4500万吨，切实提升我国奶业发展质量、效益和竞争力。</w:t>
      </w:r>
      <w:r>
        <w:rPr>
          <w:color w:val="000000" w:themeColor="text1"/>
          <w14:textFill>
            <w14:solidFill>
              <w14:schemeClr w14:val="tx1"/>
            </w14:solidFill>
          </w14:textFill>
        </w:rPr>
        <w:t>201</w:t>
      </w:r>
      <w:r>
        <w:rPr>
          <w:rFonts w:hint="eastAsia"/>
          <w:color w:val="000000" w:themeColor="text1"/>
          <w14:textFill>
            <w14:solidFill>
              <w14:schemeClr w14:val="tx1"/>
            </w14:solidFill>
          </w14:textFill>
        </w:rPr>
        <w:t>9年，内蒙古自治区印发《关于推进奶业振兴的实施意见》，提出要建设一流种源、饲草料、奶源基地，打造一流加工企业，创建一流品牌，形成一流品质，引领全国奶业发展，为全区奶业发展指明方向和路径。</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呼和浩特市位于北纬</w:t>
      </w:r>
      <w:r>
        <w:rPr>
          <w:rFonts w:cs="Times New Roman"/>
          <w:color w:val="000000" w:themeColor="text1"/>
          <w14:textFill>
            <w14:solidFill>
              <w14:schemeClr w14:val="tx1"/>
            </w14:solidFill>
          </w14:textFill>
        </w:rPr>
        <w:t>41°至45°</w:t>
      </w:r>
      <w:r>
        <w:rPr>
          <w:rFonts w:hint="eastAsia"/>
          <w:color w:val="000000" w:themeColor="text1"/>
          <w14:textFill>
            <w14:solidFill>
              <w14:schemeClr w14:val="tx1"/>
            </w14:solidFill>
          </w14:textFill>
        </w:rPr>
        <w:t>黄金奶源带上，拥有最靠近草原区位优势，是一座具有悠久奶牛养殖历史的城市。乳业是呼和浩特市农业第一支柱产业。近年来，内蒙古自治区和呼和浩特市认真贯彻落实党中央决策部署和意见精神，积极行动、扎实推动，出台举措，切实加大政策支持和技术指导力度，不断推进优质奶源基地和乳产业集群建设，实现了奶业振兴的良好开局，奶业生产和乳制品消费稳定发展。新时代，呼和浩特市将以植根草原、胸怀世界的坦荡与担当，全力打造“中国乳都”升级版，通过促进和推动中国乳业全产业链发展模式转型升级，在全世界打响“中国乳都”品牌。呼和浩特</w:t>
      </w:r>
      <w:r>
        <w:rPr>
          <w:color w:val="000000" w:themeColor="text1"/>
          <w14:textFill>
            <w14:solidFill>
              <w14:schemeClr w14:val="tx1"/>
            </w14:solidFill>
          </w14:textFill>
        </w:rPr>
        <w:t>市委市政府专门部署编制</w:t>
      </w:r>
      <w:r>
        <w:rPr>
          <w:rFonts w:hint="eastAsia"/>
          <w:color w:val="000000" w:themeColor="text1"/>
          <w14:textFill>
            <w14:solidFill>
              <w14:schemeClr w14:val="tx1"/>
            </w14:solidFill>
          </w14:textFill>
        </w:rPr>
        <w:t>《内蒙古自治区呼和浩特市中国乳都总体规划（2021—2025年）》</w:t>
      </w:r>
      <w:r>
        <w:rPr>
          <w:color w:val="000000" w:themeColor="text1"/>
          <w14:textFill>
            <w14:solidFill>
              <w14:schemeClr w14:val="tx1"/>
            </w14:solidFill>
          </w14:textFill>
        </w:rPr>
        <w:t>。</w:t>
      </w:r>
    </w:p>
    <w:p>
      <w:pPr>
        <w:ind w:firstLine="560"/>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受</w:t>
      </w:r>
      <w:r>
        <w:rPr>
          <w:color w:val="000000" w:themeColor="text1"/>
          <w14:textFill>
            <w14:solidFill>
              <w14:schemeClr w14:val="tx1"/>
            </w14:solidFill>
          </w14:textFill>
        </w:rPr>
        <w:t>呼和浩特市</w:t>
      </w:r>
      <w:r>
        <w:rPr>
          <w:rFonts w:hint="eastAsia"/>
          <w:color w:val="000000" w:themeColor="text1"/>
          <w14:textFill>
            <w14:solidFill>
              <w14:schemeClr w14:val="tx1"/>
            </w14:solidFill>
          </w14:textFill>
        </w:rPr>
        <w:t>政府委托，农业农村部规划设计研究院</w:t>
      </w:r>
      <w:r>
        <w:rPr>
          <w:color w:val="000000" w:themeColor="text1"/>
          <w14:textFill>
            <w14:solidFill>
              <w14:schemeClr w14:val="tx1"/>
            </w14:solidFill>
          </w14:textFill>
        </w:rPr>
        <w:t>组成了规划编制领导小组和工作组，通过充分调研、借鉴国内外</w:t>
      </w:r>
      <w:r>
        <w:rPr>
          <w:rFonts w:hint="eastAsia"/>
          <w:color w:val="000000" w:themeColor="text1"/>
          <w14:textFill>
            <w14:solidFill>
              <w14:schemeClr w14:val="tx1"/>
            </w14:solidFill>
          </w14:textFill>
        </w:rPr>
        <w:t>现代奶业</w:t>
      </w:r>
      <w:r>
        <w:rPr>
          <w:color w:val="000000" w:themeColor="text1"/>
          <w14:textFill>
            <w14:solidFill>
              <w14:schemeClr w14:val="tx1"/>
            </w14:solidFill>
          </w14:textFill>
        </w:rPr>
        <w:t>发展经验，</w:t>
      </w:r>
      <w:r>
        <w:rPr>
          <w:rFonts w:hint="eastAsia"/>
          <w:color w:val="000000" w:themeColor="text1"/>
          <w14:textFill>
            <w14:solidFill>
              <w14:schemeClr w14:val="tx1"/>
            </w14:solidFill>
          </w14:textFill>
        </w:rPr>
        <w:t>研究编制本规划。规划范围包括呼和浩特市全域，2</w:t>
      </w:r>
      <w:r>
        <w:rPr>
          <w:color w:val="000000" w:themeColor="text1"/>
          <w14:textFill>
            <w14:solidFill>
              <w14:schemeClr w14:val="tx1"/>
            </w14:solidFill>
          </w14:textFill>
        </w:rPr>
        <w:t>019</w:t>
      </w:r>
      <w:r>
        <w:rPr>
          <w:rFonts w:hint="eastAsia"/>
          <w:color w:val="000000" w:themeColor="text1"/>
          <w14:textFill>
            <w14:solidFill>
              <w14:schemeClr w14:val="tx1"/>
            </w14:solidFill>
          </w14:textFill>
        </w:rPr>
        <w:t>年为基准年，2</w:t>
      </w:r>
      <w:r>
        <w:rPr>
          <w:color w:val="000000" w:themeColor="text1"/>
          <w14:textFill>
            <w14:solidFill>
              <w14:schemeClr w14:val="tx1"/>
            </w14:solidFill>
          </w14:textFill>
        </w:rPr>
        <w:t>025</w:t>
      </w:r>
      <w:r>
        <w:rPr>
          <w:rFonts w:hint="eastAsia"/>
          <w:color w:val="000000" w:themeColor="text1"/>
          <w14:textFill>
            <w14:solidFill>
              <w14:schemeClr w14:val="tx1"/>
            </w14:solidFill>
          </w14:textFill>
        </w:rPr>
        <w:t>年为规划水平年。本《规划》与《国务院办公厅关于推进奶业振兴保障乳品质量安全的意见》《内蒙古自治区人民政府办公厅关于推进奶业振兴的实施意见》《呼和浩特市农牧业农村现代化“十四五”发展规划》等文件和规划做了充分衔接，在全面分析呼和浩特市奶业发展现状的基础上，明确了呼和浩特市“十四五”期间奶业发展的战略定位、思路目标和主要任务，谋划了一批重大工程，并提出了保障措施。本《规划》是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年乃至更长时期，呼和浩特市现代乳业发展的指导性文件。</w:t>
      </w:r>
    </w:p>
    <w:p>
      <w:pPr>
        <w:widowControl/>
        <w:spacing w:before="340" w:after="330" w:line="578" w:lineRule="auto"/>
        <w:ind w:left="420" w:firstLine="0" w:firstLineChars="0"/>
        <w:jc w:val="center"/>
        <w:rPr>
          <w:rFonts w:cs="Times New Roman"/>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br w:type="page"/>
      </w:r>
    </w:p>
    <w:p>
      <w:pPr>
        <w:pStyle w:val="2"/>
        <w:rPr>
          <w:color w:val="000000" w:themeColor="text1"/>
          <w14:textFill>
            <w14:solidFill>
              <w14:schemeClr w14:val="tx1"/>
            </w14:solidFill>
          </w14:textFill>
        </w:rPr>
      </w:pPr>
      <w:bookmarkStart w:id="2" w:name="_Toc80215033"/>
      <w:r>
        <w:rPr>
          <w:rFonts w:hint="eastAsia"/>
          <w:color w:val="000000" w:themeColor="text1"/>
          <w14:textFill>
            <w14:solidFill>
              <w14:schemeClr w14:val="tx1"/>
            </w14:solidFill>
          </w14:textFill>
        </w:rPr>
        <w:t>基础条件分析</w:t>
      </w:r>
      <w:bookmarkEnd w:id="2"/>
    </w:p>
    <w:p>
      <w:pPr>
        <w:pStyle w:val="3"/>
        <w:ind w:firstLine="643"/>
        <w:rPr>
          <w:color w:val="000000" w:themeColor="text1"/>
          <w14:textFill>
            <w14:solidFill>
              <w14:schemeClr w14:val="tx1"/>
            </w14:solidFill>
          </w14:textFill>
        </w:rPr>
      </w:pPr>
      <w:bookmarkStart w:id="3" w:name="_Toc40713140"/>
      <w:bookmarkStart w:id="4" w:name="_Toc51435874"/>
      <w:bookmarkStart w:id="5" w:name="_Toc80215034"/>
      <w:r>
        <w:rPr>
          <w:rFonts w:hint="eastAsia"/>
          <w:color w:val="000000" w:themeColor="text1"/>
          <w14:textFill>
            <w14:solidFill>
              <w14:schemeClr w14:val="tx1"/>
            </w14:solidFill>
          </w14:textFill>
        </w:rPr>
        <w:t>基本概况</w:t>
      </w:r>
      <w:bookmarkEnd w:id="3"/>
      <w:bookmarkEnd w:id="4"/>
      <w:bookmarkEnd w:id="5"/>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区位交通</w:t>
      </w:r>
    </w:p>
    <w:p>
      <w:pPr>
        <w:wordWrap w:val="0"/>
        <w:ind w:firstLine="560"/>
        <w:rPr>
          <w:color w:val="000000" w:themeColor="text1"/>
          <w:kern w:val="0"/>
          <w14:textFill>
            <w14:solidFill>
              <w14:schemeClr w14:val="tx1"/>
            </w14:solidFill>
          </w14:textFill>
        </w:rPr>
      </w:pPr>
      <w:r>
        <w:rPr>
          <w:rFonts w:hint="eastAsia" w:cs="Times New Roman"/>
          <w:bCs/>
          <w:color w:val="000000" w:themeColor="text1"/>
          <w14:textFill>
            <w14:solidFill>
              <w14:schemeClr w14:val="tx1"/>
            </w14:solidFill>
          </w14:textFill>
        </w:rPr>
        <w:t>呼和浩特位于内蒙古自治区中部，东经</w:t>
      </w:r>
      <w:r>
        <w:rPr>
          <w:rFonts w:cs="Times New Roman"/>
          <w:bCs/>
          <w:color w:val="000000" w:themeColor="text1"/>
          <w14:textFill>
            <w14:solidFill>
              <w14:schemeClr w14:val="tx1"/>
            </w14:solidFill>
          </w14:textFill>
        </w:rPr>
        <w:t>110°46′</w:t>
      </w:r>
      <w:r>
        <w:rPr>
          <w:rFonts w:hint="eastAsia" w:cs="Times New Roman"/>
          <w:bCs/>
          <w:color w:val="000000" w:themeColor="text1"/>
          <w14:textFill>
            <w14:solidFill>
              <w14:schemeClr w14:val="tx1"/>
            </w14:solidFill>
          </w14:textFill>
        </w:rPr>
        <w:t>-</w:t>
      </w:r>
      <w:r>
        <w:rPr>
          <w:rFonts w:cs="Times New Roman"/>
          <w:bCs/>
          <w:color w:val="000000" w:themeColor="text1"/>
          <w14:textFill>
            <w14:solidFill>
              <w14:schemeClr w14:val="tx1"/>
            </w14:solidFill>
          </w14:textFill>
        </w:rPr>
        <w:t>112°10′，</w:t>
      </w:r>
      <w:r>
        <w:rPr>
          <w:rFonts w:hint="eastAsia" w:cs="Times New Roman"/>
          <w:bCs/>
          <w:color w:val="000000" w:themeColor="text1"/>
          <w14:textFill>
            <w14:solidFill>
              <w14:schemeClr w14:val="tx1"/>
            </w14:solidFill>
          </w14:textFill>
        </w:rPr>
        <w:t>北纬</w:t>
      </w:r>
      <w:r>
        <w:rPr>
          <w:rFonts w:cs="Times New Roman"/>
          <w:bCs/>
          <w:color w:val="000000" w:themeColor="text1"/>
          <w14:textFill>
            <w14:solidFill>
              <w14:schemeClr w14:val="tx1"/>
            </w14:solidFill>
          </w14:textFill>
        </w:rPr>
        <w:t>40°51′-41°8′</w:t>
      </w:r>
      <w:r>
        <w:rPr>
          <w:rFonts w:hint="eastAsia" w:cs="Times New Roman"/>
          <w:bCs/>
          <w:color w:val="000000" w:themeColor="text1"/>
          <w14:textFill>
            <w14:solidFill>
              <w14:schemeClr w14:val="tx1"/>
            </w14:solidFill>
          </w14:textFill>
        </w:rPr>
        <w:t>，西与包头市、鄂尔多斯市接壤，东邻乌兰察布市，南抵山西省，是呼包鄂榆城市群的区域性中心城市，已成为联接黄河经济带、亚欧大陆桥、环渤海经济区域的重要桥梁，是</w:t>
      </w:r>
      <w:r>
        <w:rPr>
          <w:rFonts w:cs="Times New Roman"/>
          <w:bCs/>
          <w:color w:val="000000" w:themeColor="text1"/>
          <w14:textFill>
            <w14:solidFill>
              <w14:schemeClr w14:val="tx1"/>
            </w14:solidFill>
          </w14:textFill>
        </w:rPr>
        <w:t>“</w:t>
      </w:r>
      <w:r>
        <w:rPr>
          <w:rFonts w:hint="eastAsia" w:cs="Times New Roman"/>
          <w:bCs/>
          <w:color w:val="000000" w:themeColor="text1"/>
          <w14:textFill>
            <w14:solidFill>
              <w14:schemeClr w14:val="tx1"/>
            </w14:solidFill>
          </w14:textFill>
        </w:rPr>
        <w:t>一带一路</w:t>
      </w:r>
      <w:r>
        <w:rPr>
          <w:rFonts w:cs="Times New Roman"/>
          <w:bCs/>
          <w:color w:val="000000" w:themeColor="text1"/>
          <w14:textFill>
            <w14:solidFill>
              <w14:schemeClr w14:val="tx1"/>
            </w14:solidFill>
          </w14:textFill>
        </w:rPr>
        <w:t>”</w:t>
      </w:r>
      <w:r>
        <w:rPr>
          <w:rFonts w:hint="eastAsia" w:cs="Times New Roman"/>
          <w:bCs/>
          <w:color w:val="000000" w:themeColor="text1"/>
          <w14:textFill>
            <w14:solidFill>
              <w14:schemeClr w14:val="tx1"/>
            </w14:solidFill>
          </w14:textFill>
        </w:rPr>
        <w:t>建设的重要节点城市，也是我国向北开放的重要“桥头堡”。</w:t>
      </w:r>
      <w:r>
        <w:rPr>
          <w:rFonts w:hint="eastAsia"/>
          <w:color w:val="000000" w:themeColor="text1"/>
          <w:kern w:val="0"/>
          <w14:textFill>
            <w14:solidFill>
              <w14:schemeClr w14:val="tx1"/>
            </w14:solidFill>
          </w14:textFill>
        </w:rPr>
        <w:t>市域内有京藏、京新、呼北等高速公路穿越境内，衔接京津冀经济圈、太原经济圈，京包铁路、集包第二双线以及呼张高铁途径呼和浩特市，开通蒙古国乌兰巴托等地国际列车，最远可抵达德国法兰克福，拥有呼和浩特白塔国际机场，航线基本覆盖全国各大省会城市及中小城市。</w:t>
      </w:r>
    </w:p>
    <w:p>
      <w:pPr>
        <w:pStyle w:val="4"/>
        <w:numPr>
          <w:ilvl w:val="2"/>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地形气候</w:t>
      </w:r>
    </w:p>
    <w:p>
      <w:pPr>
        <w:ind w:firstLine="56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呼和浩特市</w:t>
      </w:r>
      <w:r>
        <w:rPr>
          <w:rFonts w:hint="eastAsia" w:cs="Times New Roman"/>
          <w:bCs/>
          <w:color w:val="000000" w:themeColor="text1"/>
          <w14:textFill>
            <w14:solidFill>
              <w14:schemeClr w14:val="tx1"/>
            </w14:solidFill>
          </w14:textFill>
        </w:rPr>
        <w:t>地处内蒙古自治区中部大青山南侧，</w:t>
      </w:r>
      <w:r>
        <w:rPr>
          <w:rFonts w:hint="eastAsia" w:cs="Times New Roman"/>
          <w:color w:val="000000" w:themeColor="text1"/>
          <w14:textFill>
            <w14:solidFill>
              <w14:schemeClr w14:val="tx1"/>
            </w14:solidFill>
          </w14:textFill>
        </w:rPr>
        <w:t>地势由北向南逐渐倾斜，北部大青山和东南部蛮汉山为山地地形，南部及西南部为土默川平原地形，海拔最高为</w:t>
      </w:r>
      <w:r>
        <w:rPr>
          <w:rFonts w:cs="Times New Roman"/>
          <w:color w:val="000000" w:themeColor="text1"/>
          <w14:textFill>
            <w14:solidFill>
              <w14:schemeClr w14:val="tx1"/>
            </w14:solidFill>
          </w14:textFill>
        </w:rPr>
        <w:t>2280</w:t>
      </w:r>
      <w:r>
        <w:rPr>
          <w:rFonts w:hint="eastAsia" w:cs="Times New Roman"/>
          <w:color w:val="000000" w:themeColor="text1"/>
          <w14:textFill>
            <w14:solidFill>
              <w14:schemeClr w14:val="tx1"/>
            </w14:solidFill>
          </w14:textFill>
        </w:rPr>
        <w:t>米，最低</w:t>
      </w:r>
      <w:r>
        <w:rPr>
          <w:rFonts w:cs="Times New Roman"/>
          <w:color w:val="000000" w:themeColor="text1"/>
          <w14:textFill>
            <w14:solidFill>
              <w14:schemeClr w14:val="tx1"/>
            </w14:solidFill>
          </w14:textFill>
        </w:rPr>
        <w:t>986</w:t>
      </w:r>
      <w:r>
        <w:rPr>
          <w:rFonts w:hint="eastAsia" w:cs="Times New Roman"/>
          <w:color w:val="000000" w:themeColor="text1"/>
          <w14:textFill>
            <w14:solidFill>
              <w14:schemeClr w14:val="tx1"/>
            </w14:solidFill>
          </w14:textFill>
        </w:rPr>
        <w:t>米，市区海拔高度为</w:t>
      </w:r>
      <w:r>
        <w:rPr>
          <w:rFonts w:cs="Times New Roman"/>
          <w:color w:val="000000" w:themeColor="text1"/>
          <w14:textFill>
            <w14:solidFill>
              <w14:schemeClr w14:val="tx1"/>
            </w14:solidFill>
          </w14:textFill>
        </w:rPr>
        <w:t>1040</w:t>
      </w:r>
      <w:r>
        <w:rPr>
          <w:rFonts w:hint="eastAsia" w:cs="Times New Roman"/>
          <w:color w:val="000000" w:themeColor="text1"/>
          <w14:textFill>
            <w14:solidFill>
              <w14:schemeClr w14:val="tx1"/>
            </w14:solidFill>
          </w14:textFill>
        </w:rPr>
        <w:t>米，属于中温带大陆性季风气候，地处世界公认的北纬</w:t>
      </w:r>
      <w:r>
        <w:rPr>
          <w:rFonts w:cs="Times New Roman"/>
          <w:color w:val="000000" w:themeColor="text1"/>
          <w14:textFill>
            <w14:solidFill>
              <w14:schemeClr w14:val="tx1"/>
            </w14:solidFill>
          </w14:textFill>
        </w:rPr>
        <w:t>41°</w:t>
      </w:r>
      <w:r>
        <w:rPr>
          <w:rFonts w:hint="eastAsia" w:cs="Times New Roman"/>
          <w:color w:val="000000" w:themeColor="text1"/>
          <w14:textFill>
            <w14:solidFill>
              <w14:schemeClr w14:val="tx1"/>
            </w14:solidFill>
          </w14:textFill>
        </w:rPr>
        <w:t>至</w:t>
      </w:r>
      <w:r>
        <w:rPr>
          <w:rFonts w:cs="Times New Roman"/>
          <w:color w:val="000000" w:themeColor="text1"/>
          <w14:textFill>
            <w14:solidFill>
              <w14:schemeClr w14:val="tx1"/>
            </w14:solidFill>
          </w14:textFill>
        </w:rPr>
        <w:t>45°</w:t>
      </w:r>
      <w:r>
        <w:rPr>
          <w:rFonts w:hint="eastAsia"/>
          <w:color w:val="000000" w:themeColor="text1"/>
          <w14:textFill>
            <w14:solidFill>
              <w14:schemeClr w14:val="tx1"/>
            </w14:solidFill>
          </w14:textFill>
        </w:rPr>
        <w:t>黄金奶源带范围内。区域</w:t>
      </w:r>
      <w:r>
        <w:rPr>
          <w:rFonts w:hint="eastAsia" w:cs="Times New Roman"/>
          <w:color w:val="000000" w:themeColor="text1"/>
          <w14:textFill>
            <w14:solidFill>
              <w14:schemeClr w14:val="tx1"/>
            </w14:solidFill>
          </w14:textFill>
        </w:rPr>
        <w:t>四季气候变化明显，冬季漫长严寒，夏季短暂炎热，春秋两季气候变化剧烈。年平均气温由北向南递增，北部大青山区仅在</w:t>
      </w:r>
      <w:r>
        <w:rPr>
          <w:rFonts w:cs="Times New Roman"/>
          <w:color w:val="000000" w:themeColor="text1"/>
          <w14:textFill>
            <w14:solidFill>
              <w14:schemeClr w14:val="tx1"/>
            </w14:solidFill>
          </w14:textFill>
        </w:rPr>
        <w:t>2℃</w:t>
      </w:r>
      <w:r>
        <w:rPr>
          <w:rFonts w:hint="eastAsia" w:cs="Times New Roman"/>
          <w:color w:val="000000" w:themeColor="text1"/>
          <w14:textFill>
            <w14:solidFill>
              <w14:schemeClr w14:val="tx1"/>
            </w14:solidFill>
          </w14:textFill>
        </w:rPr>
        <w:t>左右，南部达到</w:t>
      </w:r>
      <w:r>
        <w:rPr>
          <w:rFonts w:cs="Times New Roman"/>
          <w:color w:val="000000" w:themeColor="text1"/>
          <w14:textFill>
            <w14:solidFill>
              <w14:schemeClr w14:val="tx1"/>
            </w14:solidFill>
          </w14:textFill>
        </w:rPr>
        <w:t>6.7℃</w:t>
      </w:r>
      <w:r>
        <w:rPr>
          <w:rFonts w:hint="eastAsia" w:cs="Times New Roman"/>
          <w:color w:val="000000" w:themeColor="text1"/>
          <w14:textFill>
            <w14:solidFill>
              <w14:schemeClr w14:val="tx1"/>
            </w14:solidFill>
          </w14:textFill>
        </w:rPr>
        <w:t>，最冷月气温</w:t>
      </w:r>
      <w:r>
        <w:rPr>
          <w:rFonts w:cs="Times New Roman"/>
          <w:color w:val="000000" w:themeColor="text1"/>
          <w14:textFill>
            <w14:solidFill>
              <w14:schemeClr w14:val="tx1"/>
            </w14:solidFill>
          </w14:textFill>
        </w:rPr>
        <w:t>-12.7~16.1℃</w:t>
      </w:r>
      <w:r>
        <w:rPr>
          <w:rFonts w:hint="eastAsia" w:cs="Times New Roman"/>
          <w:color w:val="000000" w:themeColor="text1"/>
          <w14:textFill>
            <w14:solidFill>
              <w14:schemeClr w14:val="tx1"/>
            </w14:solidFill>
          </w14:textFill>
        </w:rPr>
        <w:t>，最热月平均气温</w:t>
      </w:r>
      <w:r>
        <w:rPr>
          <w:rFonts w:cs="Times New Roman"/>
          <w:color w:val="000000" w:themeColor="text1"/>
          <w14:textFill>
            <w14:solidFill>
              <w14:schemeClr w14:val="tx1"/>
            </w14:solidFill>
          </w14:textFill>
        </w:rPr>
        <w:t>17~22.9℃</w:t>
      </w:r>
      <w:r>
        <w:rPr>
          <w:rFonts w:hint="eastAsia" w:cs="Times New Roman"/>
          <w:color w:val="000000" w:themeColor="text1"/>
          <w14:textFill>
            <w14:solidFill>
              <w14:schemeClr w14:val="tx1"/>
            </w14:solidFill>
          </w14:textFill>
        </w:rPr>
        <w:t>。北部山区无霜期为</w:t>
      </w:r>
      <w:r>
        <w:rPr>
          <w:rFonts w:cs="Times New Roman"/>
          <w:color w:val="000000" w:themeColor="text1"/>
          <w14:textFill>
            <w14:solidFill>
              <w14:schemeClr w14:val="tx1"/>
            </w14:solidFill>
          </w14:textFill>
        </w:rPr>
        <w:t>75</w:t>
      </w:r>
      <w:r>
        <w:rPr>
          <w:rFonts w:hint="eastAsia" w:cs="Times New Roman"/>
          <w:color w:val="000000" w:themeColor="text1"/>
          <w14:textFill>
            <w14:solidFill>
              <w14:schemeClr w14:val="tx1"/>
            </w14:solidFill>
          </w14:textFill>
        </w:rPr>
        <w:t>天，低山丘陵区</w:t>
      </w:r>
      <w:r>
        <w:rPr>
          <w:rFonts w:cs="Times New Roman"/>
          <w:color w:val="000000" w:themeColor="text1"/>
          <w14:textFill>
            <w14:solidFill>
              <w14:schemeClr w14:val="tx1"/>
            </w14:solidFill>
          </w14:textFill>
        </w:rPr>
        <w:t>110</w:t>
      </w:r>
      <w:r>
        <w:rPr>
          <w:rFonts w:hint="eastAsia" w:cs="Times New Roman"/>
          <w:color w:val="000000" w:themeColor="text1"/>
          <w14:textFill>
            <w14:solidFill>
              <w14:schemeClr w14:val="tx1"/>
            </w14:solidFill>
          </w14:textFill>
        </w:rPr>
        <w:t>天，南部平原区为</w:t>
      </w:r>
      <w:r>
        <w:rPr>
          <w:rFonts w:cs="Times New Roman"/>
          <w:color w:val="000000" w:themeColor="text1"/>
          <w14:textFill>
            <w14:solidFill>
              <w14:schemeClr w14:val="tx1"/>
            </w14:solidFill>
          </w14:textFill>
        </w:rPr>
        <w:t>113~134</w:t>
      </w:r>
      <w:r>
        <w:rPr>
          <w:rFonts w:hint="eastAsia" w:cs="Times New Roman"/>
          <w:color w:val="000000" w:themeColor="text1"/>
          <w14:textFill>
            <w14:solidFill>
              <w14:schemeClr w14:val="tx1"/>
            </w14:solidFill>
          </w14:textFill>
        </w:rPr>
        <w:t>天，日照年均</w:t>
      </w:r>
      <w:r>
        <w:rPr>
          <w:rFonts w:cs="Times New Roman"/>
          <w:color w:val="000000" w:themeColor="text1"/>
          <w14:textFill>
            <w14:solidFill>
              <w14:schemeClr w14:val="tx1"/>
            </w14:solidFill>
          </w14:textFill>
        </w:rPr>
        <w:t>1600</w:t>
      </w:r>
      <w:r>
        <w:rPr>
          <w:rFonts w:hint="eastAsia" w:cs="Times New Roman"/>
          <w:color w:val="000000" w:themeColor="text1"/>
          <w14:textFill>
            <w14:solidFill>
              <w14:schemeClr w14:val="tx1"/>
            </w14:solidFill>
          </w14:textFill>
        </w:rPr>
        <w:t>小时，年平均降水量为</w:t>
      </w:r>
      <w:r>
        <w:rPr>
          <w:rFonts w:cs="Times New Roman"/>
          <w:color w:val="000000" w:themeColor="text1"/>
          <w14:textFill>
            <w14:solidFill>
              <w14:schemeClr w14:val="tx1"/>
            </w14:solidFill>
          </w14:textFill>
        </w:rPr>
        <w:t>335.2~534.6</w:t>
      </w:r>
      <w:r>
        <w:rPr>
          <w:rFonts w:hint="eastAsia" w:cs="Times New Roman"/>
          <w:color w:val="000000" w:themeColor="text1"/>
          <w14:textFill>
            <w14:solidFill>
              <w14:schemeClr w14:val="tx1"/>
            </w14:solidFill>
          </w14:textFill>
        </w:rPr>
        <w:t>毫米，西南区最少仅为</w:t>
      </w:r>
      <w:r>
        <w:rPr>
          <w:rFonts w:cs="Times New Roman"/>
          <w:color w:val="000000" w:themeColor="text1"/>
          <w14:textFill>
            <w14:solidFill>
              <w14:schemeClr w14:val="tx1"/>
            </w14:solidFill>
          </w14:textFill>
        </w:rPr>
        <w:t>350</w:t>
      </w:r>
      <w:r>
        <w:rPr>
          <w:rFonts w:hint="eastAsia" w:cs="Times New Roman"/>
          <w:color w:val="000000" w:themeColor="text1"/>
          <w14:textFill>
            <w14:solidFill>
              <w14:schemeClr w14:val="tx1"/>
            </w14:solidFill>
          </w14:textFill>
        </w:rPr>
        <w:t>毫米，平原区在</w:t>
      </w:r>
      <w:r>
        <w:rPr>
          <w:rFonts w:cs="Times New Roman"/>
          <w:color w:val="000000" w:themeColor="text1"/>
          <w14:textFill>
            <w14:solidFill>
              <w14:schemeClr w14:val="tx1"/>
            </w14:solidFill>
          </w14:textFill>
        </w:rPr>
        <w:t>400</w:t>
      </w:r>
      <w:r>
        <w:rPr>
          <w:rFonts w:hint="eastAsia" w:cs="Times New Roman"/>
          <w:color w:val="000000" w:themeColor="text1"/>
          <w14:textFill>
            <w14:solidFill>
              <w14:schemeClr w14:val="tx1"/>
            </w14:solidFill>
          </w14:textFill>
        </w:rPr>
        <w:t>毫米左右，大青山区在</w:t>
      </w:r>
      <w:r>
        <w:rPr>
          <w:rFonts w:cs="Times New Roman"/>
          <w:color w:val="000000" w:themeColor="text1"/>
          <w14:textFill>
            <w14:solidFill>
              <w14:schemeClr w14:val="tx1"/>
            </w14:solidFill>
          </w14:textFill>
        </w:rPr>
        <w:t>430-500</w:t>
      </w:r>
      <w:r>
        <w:rPr>
          <w:rFonts w:hint="eastAsia" w:cs="Times New Roman"/>
          <w:color w:val="000000" w:themeColor="text1"/>
          <w14:textFill>
            <w14:solidFill>
              <w14:schemeClr w14:val="tx1"/>
            </w14:solidFill>
          </w14:textFill>
        </w:rPr>
        <w:t>毫米。</w:t>
      </w:r>
    </w:p>
    <w:p>
      <w:pPr>
        <w:pStyle w:val="4"/>
        <w:ind w:firstLine="562"/>
        <w:rPr>
          <w:color w:val="000000" w:themeColor="text1"/>
          <w:szCs w:val="30"/>
          <w14:textFill>
            <w14:solidFill>
              <w14:schemeClr w14:val="tx1"/>
            </w14:solidFill>
          </w14:textFill>
        </w:rPr>
      </w:pPr>
      <w:r>
        <w:rPr>
          <w:rFonts w:hint="eastAsia"/>
          <w:color w:val="000000" w:themeColor="text1"/>
          <w14:textFill>
            <w14:solidFill>
              <w14:schemeClr w14:val="tx1"/>
            </w14:solidFill>
          </w14:textFill>
        </w:rPr>
        <w:t>自然资源</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呼和浩特市辖区面积</w:t>
      </w:r>
      <w:r>
        <w:rPr>
          <w:color w:val="000000" w:themeColor="text1"/>
          <w14:textFill>
            <w14:solidFill>
              <w14:schemeClr w14:val="tx1"/>
            </w14:solidFill>
          </w14:textFill>
        </w:rPr>
        <w:t>17224</w:t>
      </w:r>
      <w:r>
        <w:rPr>
          <w:rFonts w:hint="eastAsia"/>
          <w:color w:val="000000" w:themeColor="text1"/>
          <w14:textFill>
            <w14:solidFill>
              <w14:schemeClr w14:val="tx1"/>
            </w14:solidFill>
          </w14:textFill>
        </w:rPr>
        <w:t>平方公里，全市可耕种土地总面积约</w:t>
      </w:r>
      <w:r>
        <w:rPr>
          <w:color w:val="000000" w:themeColor="text1"/>
          <w14:textFill>
            <w14:solidFill>
              <w14:schemeClr w14:val="tx1"/>
            </w14:solidFill>
          </w14:textFill>
        </w:rPr>
        <w:t>840</w:t>
      </w:r>
      <w:r>
        <w:rPr>
          <w:rFonts w:hint="eastAsia"/>
          <w:color w:val="000000" w:themeColor="text1"/>
          <w14:textFill>
            <w14:solidFill>
              <w14:schemeClr w14:val="tx1"/>
            </w14:solidFill>
          </w14:textFill>
        </w:rPr>
        <w:t>万亩。全市地表水可利用资源总量为</w:t>
      </w:r>
      <w:r>
        <w:rPr>
          <w:color w:val="000000" w:themeColor="text1"/>
          <w14:textFill>
            <w14:solidFill>
              <w14:schemeClr w14:val="tx1"/>
            </w14:solidFill>
          </w14:textFill>
        </w:rPr>
        <w:t>9.6</w:t>
      </w:r>
      <w:r>
        <w:rPr>
          <w:rFonts w:hint="eastAsia"/>
          <w:color w:val="000000" w:themeColor="text1"/>
          <w14:textFill>
            <w14:solidFill>
              <w14:schemeClr w14:val="tx1"/>
            </w14:solidFill>
          </w14:textFill>
        </w:rPr>
        <w:t>亿立方米，其中引黄资源量为</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亿立方米，全市浅层地下水年补给量为</w:t>
      </w:r>
      <w:r>
        <w:rPr>
          <w:color w:val="000000" w:themeColor="text1"/>
          <w14:textFill>
            <w14:solidFill>
              <w14:schemeClr w14:val="tx1"/>
            </w14:solidFill>
          </w14:textFill>
        </w:rPr>
        <w:t>9.87</w:t>
      </w:r>
      <w:r>
        <w:rPr>
          <w:rFonts w:hint="eastAsia"/>
          <w:color w:val="000000" w:themeColor="text1"/>
          <w14:textFill>
            <w14:solidFill>
              <w14:schemeClr w14:val="tx1"/>
            </w14:solidFill>
          </w14:textFill>
        </w:rPr>
        <w:t>亿立方米。呼和浩特境内有大小河流数十条，主要发源于大青山和蛮汉山山脉。呼和浩特地区光能资源丰富，日照充足。呼和浩特野生动物约有</w:t>
      </w:r>
      <w:r>
        <w:rPr>
          <w:color w:val="000000" w:themeColor="text1"/>
          <w14:textFill>
            <w14:solidFill>
              <w14:schemeClr w14:val="tx1"/>
            </w14:solidFill>
          </w14:textFill>
        </w:rPr>
        <w:t>400</w:t>
      </w:r>
      <w:r>
        <w:rPr>
          <w:rFonts w:hint="eastAsia"/>
          <w:color w:val="000000" w:themeColor="text1"/>
          <w14:textFill>
            <w14:solidFill>
              <w14:schemeClr w14:val="tx1"/>
            </w14:solidFill>
          </w14:textFill>
        </w:rPr>
        <w:t>多种，兽类动物有</w:t>
      </w:r>
      <w:r>
        <w:rPr>
          <w:color w:val="000000" w:themeColor="text1"/>
          <w14:textFill>
            <w14:solidFill>
              <w14:schemeClr w14:val="tx1"/>
            </w14:solidFill>
          </w14:textFill>
        </w:rPr>
        <w:t>29</w:t>
      </w:r>
      <w:r>
        <w:rPr>
          <w:rFonts w:hint="eastAsia"/>
          <w:color w:val="000000" w:themeColor="text1"/>
          <w14:textFill>
            <w14:solidFill>
              <w14:schemeClr w14:val="tx1"/>
            </w14:solidFill>
          </w14:textFill>
        </w:rPr>
        <w:t>种，鸟禽类动物有</w:t>
      </w:r>
      <w:r>
        <w:rPr>
          <w:color w:val="000000" w:themeColor="text1"/>
          <w14:textFill>
            <w14:solidFill>
              <w14:schemeClr w14:val="tx1"/>
            </w14:solidFill>
          </w14:textFill>
        </w:rPr>
        <w:t>138</w:t>
      </w:r>
      <w:r>
        <w:rPr>
          <w:rFonts w:hint="eastAsia"/>
          <w:color w:val="000000" w:themeColor="text1"/>
          <w14:textFill>
            <w14:solidFill>
              <w14:schemeClr w14:val="tx1"/>
            </w14:solidFill>
          </w14:textFill>
        </w:rPr>
        <w:t>种，鱼类动物有</w:t>
      </w:r>
      <w:r>
        <w:rPr>
          <w:color w:val="000000" w:themeColor="text1"/>
          <w14:textFill>
            <w14:solidFill>
              <w14:schemeClr w14:val="tx1"/>
            </w14:solidFill>
          </w14:textFill>
        </w:rPr>
        <w:t>37</w:t>
      </w:r>
      <w:r>
        <w:rPr>
          <w:rFonts w:hint="eastAsia"/>
          <w:color w:val="000000" w:themeColor="text1"/>
          <w14:textFill>
            <w14:solidFill>
              <w14:schemeClr w14:val="tx1"/>
            </w14:solidFill>
          </w14:textFill>
        </w:rPr>
        <w:t>种，虫类动物有</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余种。植被分布从东南向西北的森林植被逐渐过渡到草原，还有部分为岩生植被、沼泽植被和沙生植被。</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经济社会发展</w:t>
      </w:r>
    </w:p>
    <w:p>
      <w:pPr>
        <w:ind w:firstLine="560"/>
        <w:rPr>
          <w:color w:val="000000" w:themeColor="text1"/>
          <w14:textFill>
            <w14:solidFill>
              <w14:schemeClr w14:val="tx1"/>
            </w14:solidFill>
          </w14:textFill>
        </w:rPr>
      </w:pPr>
      <w:r>
        <w:rPr>
          <w:color w:val="000000" w:themeColor="text1"/>
          <w:kern w:val="0"/>
          <w14:textFill>
            <w14:solidFill>
              <w14:schemeClr w14:val="tx1"/>
            </w14:solidFill>
          </w14:textFill>
        </w:rPr>
        <w:t>2019</w:t>
      </w:r>
      <w:r>
        <w:rPr>
          <w:rFonts w:hint="eastAsia"/>
          <w:color w:val="000000" w:themeColor="text1"/>
          <w:kern w:val="0"/>
          <w14:textFill>
            <w14:solidFill>
              <w14:schemeClr w14:val="tx1"/>
            </w14:solidFill>
          </w14:textFill>
        </w:rPr>
        <w:t>年，呼和浩特市常住人口</w:t>
      </w:r>
      <w:r>
        <w:rPr>
          <w:color w:val="000000" w:themeColor="text1"/>
          <w:kern w:val="0"/>
          <w14:textFill>
            <w14:solidFill>
              <w14:schemeClr w14:val="tx1"/>
            </w14:solidFill>
          </w14:textFill>
        </w:rPr>
        <w:t>313.7</w:t>
      </w:r>
      <w:r>
        <w:rPr>
          <w:rFonts w:hint="eastAsia"/>
          <w:color w:val="000000" w:themeColor="text1"/>
          <w:kern w:val="0"/>
          <w14:textFill>
            <w14:solidFill>
              <w14:schemeClr w14:val="tx1"/>
            </w14:solidFill>
          </w14:textFill>
        </w:rPr>
        <w:t>万人，其中，城镇人口</w:t>
      </w:r>
      <w:r>
        <w:rPr>
          <w:color w:val="000000" w:themeColor="text1"/>
          <w:kern w:val="0"/>
          <w14:textFill>
            <w14:solidFill>
              <w14:schemeClr w14:val="tx1"/>
            </w14:solidFill>
          </w14:textFill>
        </w:rPr>
        <w:t>221.0</w:t>
      </w:r>
      <w:r>
        <w:rPr>
          <w:rFonts w:hint="eastAsia"/>
          <w:color w:val="000000" w:themeColor="text1"/>
          <w:kern w:val="0"/>
          <w14:textFill>
            <w14:solidFill>
              <w14:schemeClr w14:val="tx1"/>
            </w14:solidFill>
          </w14:textFill>
        </w:rPr>
        <w:t>万人，乡村人口</w:t>
      </w:r>
      <w:r>
        <w:rPr>
          <w:color w:val="000000" w:themeColor="text1"/>
          <w:kern w:val="0"/>
          <w14:textFill>
            <w14:solidFill>
              <w14:schemeClr w14:val="tx1"/>
            </w14:solidFill>
          </w14:textFill>
        </w:rPr>
        <w:t>92.7</w:t>
      </w:r>
      <w:r>
        <w:rPr>
          <w:rFonts w:hint="eastAsia"/>
          <w:color w:val="000000" w:themeColor="text1"/>
          <w:kern w:val="0"/>
          <w14:textFill>
            <w14:solidFill>
              <w14:schemeClr w14:val="tx1"/>
            </w14:solidFill>
          </w14:textFill>
        </w:rPr>
        <w:t>万人。常住人口城镇化率为</w:t>
      </w:r>
      <w:r>
        <w:rPr>
          <w:color w:val="000000" w:themeColor="text1"/>
          <w:kern w:val="0"/>
          <w14:textFill>
            <w14:solidFill>
              <w14:schemeClr w14:val="tx1"/>
            </w14:solidFill>
          </w14:textFill>
        </w:rPr>
        <w:t>70.5%</w:t>
      </w:r>
      <w:r>
        <w:rPr>
          <w:rFonts w:hint="eastAsia"/>
          <w:color w:val="000000" w:themeColor="text1"/>
          <w:kern w:val="0"/>
          <w14:textFill>
            <w14:solidFill>
              <w14:schemeClr w14:val="tx1"/>
            </w14:solidFill>
          </w14:textFill>
        </w:rPr>
        <w:t>。全市生产总值</w:t>
      </w:r>
      <w:r>
        <w:rPr>
          <w:color w:val="000000" w:themeColor="text1"/>
          <w:kern w:val="0"/>
          <w14:textFill>
            <w14:solidFill>
              <w14:schemeClr w14:val="tx1"/>
            </w14:solidFill>
          </w14:textFill>
        </w:rPr>
        <w:t>2791.5</w:t>
      </w:r>
      <w:r>
        <w:rPr>
          <w:rFonts w:hint="eastAsia"/>
          <w:color w:val="000000" w:themeColor="text1"/>
          <w:kern w:val="0"/>
          <w14:textFill>
            <w14:solidFill>
              <w14:schemeClr w14:val="tx1"/>
            </w14:solidFill>
          </w14:textFill>
        </w:rPr>
        <w:t>亿元，比上年增长</w:t>
      </w:r>
      <w:r>
        <w:rPr>
          <w:color w:val="000000" w:themeColor="text1"/>
          <w:kern w:val="0"/>
          <w14:textFill>
            <w14:solidFill>
              <w14:schemeClr w14:val="tx1"/>
            </w14:solidFill>
          </w14:textFill>
        </w:rPr>
        <w:t>5.5%</w:t>
      </w:r>
      <w:r>
        <w:rPr>
          <w:rFonts w:hint="eastAsia"/>
          <w:color w:val="000000" w:themeColor="text1"/>
          <w:kern w:val="0"/>
          <w14:textFill>
            <w14:solidFill>
              <w14:schemeClr w14:val="tx1"/>
            </w14:solidFill>
          </w14:textFill>
        </w:rPr>
        <w:t>。其中，第一产业增加值</w:t>
      </w:r>
      <w:r>
        <w:rPr>
          <w:color w:val="000000" w:themeColor="text1"/>
          <w:kern w:val="0"/>
          <w14:textFill>
            <w14:solidFill>
              <w14:schemeClr w14:val="tx1"/>
            </w14:solidFill>
          </w14:textFill>
        </w:rPr>
        <w:t>114.2</w:t>
      </w:r>
      <w:r>
        <w:rPr>
          <w:rFonts w:hint="eastAsia"/>
          <w:color w:val="000000" w:themeColor="text1"/>
          <w:kern w:val="0"/>
          <w14:textFill>
            <w14:solidFill>
              <w14:schemeClr w14:val="tx1"/>
            </w14:solidFill>
          </w14:textFill>
        </w:rPr>
        <w:t>亿元，第二产业增加值</w:t>
      </w:r>
      <w:r>
        <w:rPr>
          <w:color w:val="000000" w:themeColor="text1"/>
          <w:kern w:val="0"/>
          <w14:textFill>
            <w14:solidFill>
              <w14:schemeClr w14:val="tx1"/>
            </w14:solidFill>
          </w14:textFill>
        </w:rPr>
        <w:t>823.8</w:t>
      </w:r>
      <w:r>
        <w:rPr>
          <w:rFonts w:hint="eastAsia"/>
          <w:color w:val="000000" w:themeColor="text1"/>
          <w:kern w:val="0"/>
          <w14:textFill>
            <w14:solidFill>
              <w14:schemeClr w14:val="tx1"/>
            </w14:solidFill>
          </w14:textFill>
        </w:rPr>
        <w:t>亿元，第三产业增加值</w:t>
      </w:r>
      <w:r>
        <w:rPr>
          <w:color w:val="000000" w:themeColor="text1"/>
          <w:kern w:val="0"/>
          <w14:textFill>
            <w14:solidFill>
              <w14:schemeClr w14:val="tx1"/>
            </w14:solidFill>
          </w14:textFill>
        </w:rPr>
        <w:t>1853.4</w:t>
      </w:r>
      <w:r>
        <w:rPr>
          <w:rFonts w:hint="eastAsia"/>
          <w:color w:val="000000" w:themeColor="text1"/>
          <w:kern w:val="0"/>
          <w14:textFill>
            <w14:solidFill>
              <w14:schemeClr w14:val="tx1"/>
            </w14:solidFill>
          </w14:textFill>
        </w:rPr>
        <w:t>亿元，三次产业比例为</w:t>
      </w:r>
      <w:r>
        <w:rPr>
          <w:color w:val="000000" w:themeColor="text1"/>
          <w:kern w:val="0"/>
          <w14:textFill>
            <w14:solidFill>
              <w14:schemeClr w14:val="tx1"/>
            </w14:solidFill>
          </w14:textFill>
        </w:rPr>
        <w:t>4.1:29.5:66.4</w:t>
      </w:r>
      <w:r>
        <w:rPr>
          <w:rFonts w:hint="eastAsia"/>
          <w:color w:val="000000" w:themeColor="text1"/>
          <w:kern w:val="0"/>
          <w14:textFill>
            <w14:solidFill>
              <w14:schemeClr w14:val="tx1"/>
            </w14:solidFill>
          </w14:textFill>
        </w:rPr>
        <w:t>。全市一般公共预算收入</w:t>
      </w:r>
      <w:r>
        <w:rPr>
          <w:color w:val="000000" w:themeColor="text1"/>
          <w:kern w:val="0"/>
          <w14:textFill>
            <w14:solidFill>
              <w14:schemeClr w14:val="tx1"/>
            </w14:solidFill>
          </w14:textFill>
        </w:rPr>
        <w:t>203.1</w:t>
      </w:r>
      <w:r>
        <w:rPr>
          <w:rFonts w:hint="eastAsia"/>
          <w:color w:val="000000" w:themeColor="text1"/>
          <w:kern w:val="0"/>
          <w14:textFill>
            <w14:solidFill>
              <w14:schemeClr w14:val="tx1"/>
            </w14:solidFill>
          </w14:textFill>
        </w:rPr>
        <w:t>亿元，比上年下降</w:t>
      </w:r>
      <w:r>
        <w:rPr>
          <w:color w:val="000000" w:themeColor="text1"/>
          <w:kern w:val="0"/>
          <w14:textFill>
            <w14:solidFill>
              <w14:schemeClr w14:val="tx1"/>
            </w14:solidFill>
          </w14:textFill>
        </w:rPr>
        <w:t>0.8%</w:t>
      </w:r>
      <w:r>
        <w:rPr>
          <w:rFonts w:hint="eastAsia"/>
          <w:color w:val="000000" w:themeColor="text1"/>
          <w:kern w:val="0"/>
          <w14:textFill>
            <w14:solidFill>
              <w14:schemeClr w14:val="tx1"/>
            </w14:solidFill>
          </w14:textFill>
        </w:rPr>
        <w:t>；一般公共预算支出</w:t>
      </w:r>
      <w:r>
        <w:rPr>
          <w:color w:val="000000" w:themeColor="text1"/>
          <w:kern w:val="0"/>
          <w14:textFill>
            <w14:solidFill>
              <w14:schemeClr w14:val="tx1"/>
            </w14:solidFill>
          </w14:textFill>
        </w:rPr>
        <w:t>421.7</w:t>
      </w:r>
      <w:r>
        <w:rPr>
          <w:rFonts w:hint="eastAsia"/>
          <w:color w:val="000000" w:themeColor="text1"/>
          <w:kern w:val="0"/>
          <w14:textFill>
            <w14:solidFill>
              <w14:schemeClr w14:val="tx1"/>
            </w14:solidFill>
          </w14:textFill>
        </w:rPr>
        <w:t>亿元，比上年增长</w:t>
      </w:r>
      <w:r>
        <w:rPr>
          <w:color w:val="000000" w:themeColor="text1"/>
          <w:kern w:val="0"/>
          <w14:textFill>
            <w14:solidFill>
              <w14:schemeClr w14:val="tx1"/>
            </w14:solidFill>
          </w14:textFill>
        </w:rPr>
        <w:t>18.1%</w:t>
      </w:r>
      <w:r>
        <w:rPr>
          <w:rFonts w:hint="eastAsia"/>
          <w:color w:val="000000" w:themeColor="text1"/>
          <w:kern w:val="0"/>
          <w14:textFill>
            <w14:solidFill>
              <w14:schemeClr w14:val="tx1"/>
            </w14:solidFill>
          </w14:textFill>
        </w:rPr>
        <w:t>。全市居民人均可支配收入</w:t>
      </w:r>
      <w:r>
        <w:rPr>
          <w:color w:val="000000" w:themeColor="text1"/>
          <w:kern w:val="0"/>
          <w14:textFill>
            <w14:solidFill>
              <w14:schemeClr w14:val="tx1"/>
            </w14:solidFill>
          </w14:textFill>
        </w:rPr>
        <w:t>38306</w:t>
      </w:r>
      <w:r>
        <w:rPr>
          <w:rFonts w:hint="eastAsia"/>
          <w:color w:val="000000" w:themeColor="text1"/>
          <w:kern w:val="0"/>
          <w14:textFill>
            <w14:solidFill>
              <w14:schemeClr w14:val="tx1"/>
            </w14:solidFill>
          </w14:textFill>
        </w:rPr>
        <w:t>元，城镇常住居民人均可支配收入</w:t>
      </w:r>
      <w:r>
        <w:rPr>
          <w:color w:val="000000" w:themeColor="text1"/>
          <w:kern w:val="0"/>
          <w14:textFill>
            <w14:solidFill>
              <w14:schemeClr w14:val="tx1"/>
            </w14:solidFill>
          </w14:textFill>
        </w:rPr>
        <w:t>49397</w:t>
      </w:r>
      <w:r>
        <w:rPr>
          <w:rFonts w:hint="eastAsia"/>
          <w:color w:val="000000" w:themeColor="text1"/>
          <w:kern w:val="0"/>
          <w14:textFill>
            <w14:solidFill>
              <w14:schemeClr w14:val="tx1"/>
            </w14:solidFill>
          </w14:textFill>
        </w:rPr>
        <w:t>元，比上年增长</w:t>
      </w:r>
      <w:r>
        <w:rPr>
          <w:color w:val="000000" w:themeColor="text1"/>
          <w:kern w:val="0"/>
          <w14:textFill>
            <w14:solidFill>
              <w14:schemeClr w14:val="tx1"/>
            </w14:solidFill>
          </w14:textFill>
        </w:rPr>
        <w:t>6.1%</w:t>
      </w:r>
      <w:r>
        <w:rPr>
          <w:rFonts w:hint="eastAsia"/>
          <w:color w:val="000000" w:themeColor="text1"/>
          <w:kern w:val="0"/>
          <w14:textFill>
            <w14:solidFill>
              <w14:schemeClr w14:val="tx1"/>
            </w14:solidFill>
          </w14:textFill>
        </w:rPr>
        <w:t>，农村常住居民人均可支配收入</w:t>
      </w:r>
      <w:r>
        <w:rPr>
          <w:color w:val="000000" w:themeColor="text1"/>
          <w:kern w:val="0"/>
          <w14:textFill>
            <w14:solidFill>
              <w14:schemeClr w14:val="tx1"/>
            </w14:solidFill>
          </w14:textFill>
        </w:rPr>
        <w:t>18974</w:t>
      </w:r>
      <w:r>
        <w:rPr>
          <w:rFonts w:hint="eastAsia"/>
          <w:color w:val="000000" w:themeColor="text1"/>
          <w:kern w:val="0"/>
          <w14:textFill>
            <w14:solidFill>
              <w14:schemeClr w14:val="tx1"/>
            </w14:solidFill>
          </w14:textFill>
        </w:rPr>
        <w:t>元，增长</w:t>
      </w:r>
      <w:r>
        <w:rPr>
          <w:color w:val="000000" w:themeColor="text1"/>
          <w:kern w:val="0"/>
          <w14:textFill>
            <w14:solidFill>
              <w14:schemeClr w14:val="tx1"/>
            </w14:solidFill>
          </w14:textFill>
        </w:rPr>
        <w:t>10.4%</w:t>
      </w:r>
      <w:r>
        <w:rPr>
          <w:rFonts w:hint="eastAsia"/>
          <w:color w:val="000000" w:themeColor="text1"/>
          <w:kern w:val="0"/>
          <w14:textFill>
            <w14:solidFill>
              <w14:schemeClr w14:val="tx1"/>
            </w14:solidFill>
          </w14:textFill>
        </w:rPr>
        <w:t>。</w:t>
      </w:r>
    </w:p>
    <w:p>
      <w:pPr>
        <w:pStyle w:val="3"/>
        <w:ind w:firstLine="643"/>
        <w:rPr>
          <w:color w:val="000000" w:themeColor="text1"/>
          <w14:textFill>
            <w14:solidFill>
              <w14:schemeClr w14:val="tx1"/>
            </w14:solidFill>
          </w14:textFill>
        </w:rPr>
      </w:pPr>
      <w:bookmarkStart w:id="6" w:name="_Toc80215035"/>
      <w:r>
        <w:rPr>
          <w:rFonts w:hint="eastAsia"/>
          <w:color w:val="000000" w:themeColor="text1"/>
          <w14:textFill>
            <w14:solidFill>
              <w14:schemeClr w14:val="tx1"/>
            </w14:solidFill>
          </w14:textFill>
        </w:rPr>
        <w:t>发展成就</w:t>
      </w:r>
      <w:bookmarkEnd w:id="6"/>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奶源基地生产能力明显提升</w:t>
      </w:r>
    </w:p>
    <w:p>
      <w:pPr>
        <w:pStyle w:val="13"/>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一是奶源优势核心区基本形成。</w:t>
      </w:r>
      <w:r>
        <w:rPr>
          <w:rFonts w:hint="eastAsia"/>
          <w:color w:val="000000" w:themeColor="text1"/>
          <w14:textFill>
            <w14:solidFill>
              <w14:schemeClr w14:val="tx1"/>
            </w14:solidFill>
          </w14:textFill>
        </w:rPr>
        <w:t>呼和浩特全市形成了以土左旗、托县、和林县为核心，赛罕区、清水河县、武川县为补充的奶牛养殖优势区。“十三五”末，全市奶牛存栏达到30.2万头，牛奶年产量</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万吨，居全国各大中城市首位。与包头市、鄂尔多斯、乌兰察布等签订《呼包鄂乌推进奶产业链供应链协同发展实施方案》，明确通过平行整合、配套协作、优势互补，保障奶产业供应链安全稳定，为呼市奶源提供了保障。</w:t>
      </w:r>
      <w:r>
        <w:rPr>
          <w:rFonts w:hint="eastAsia"/>
          <w:b/>
          <w:bCs/>
          <w:color w:val="000000" w:themeColor="text1"/>
          <w14:textFill>
            <w14:solidFill>
              <w14:schemeClr w14:val="tx1"/>
            </w14:solidFill>
          </w14:textFill>
        </w:rPr>
        <w:t>二是标准化生产水平大幅提升。</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头以上规模化养殖比例达到</w:t>
      </w:r>
      <w:r>
        <w:rPr>
          <w:color w:val="000000" w:themeColor="text1"/>
          <w14:textFill>
            <w14:solidFill>
              <w14:schemeClr w14:val="tx1"/>
            </w14:solidFill>
          </w14:textFill>
        </w:rPr>
        <w:t>97%</w:t>
      </w:r>
      <w:r>
        <w:rPr>
          <w:rFonts w:hint="eastAsia"/>
          <w:color w:val="000000" w:themeColor="text1"/>
          <w14:textFill>
            <w14:solidFill>
              <w14:schemeClr w14:val="tx1"/>
            </w14:solidFill>
          </w14:textFill>
        </w:rPr>
        <w:t>，机械化挤奶率、规模场全混合日粮饲养技术（</w:t>
      </w:r>
      <w:r>
        <w:rPr>
          <w:color w:val="000000" w:themeColor="text1"/>
          <w14:textFill>
            <w14:solidFill>
              <w14:schemeClr w14:val="tx1"/>
            </w14:solidFill>
          </w14:textFill>
        </w:rPr>
        <w:t>TMR</w:t>
      </w:r>
      <w:r>
        <w:rPr>
          <w:rFonts w:hint="eastAsia"/>
          <w:color w:val="000000" w:themeColor="text1"/>
          <w14:textFill>
            <w14:solidFill>
              <w14:schemeClr w14:val="tx1"/>
            </w14:solidFill>
          </w14:textFill>
        </w:rPr>
        <w:t>）普及率均达到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，奶牛年均单产达</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9吨，鲜奶乳脂率达到</w:t>
      </w:r>
      <w:r>
        <w:rPr>
          <w:color w:val="000000" w:themeColor="text1"/>
          <w14:textFill>
            <w14:solidFill>
              <w14:schemeClr w14:val="tx1"/>
            </w14:solidFill>
          </w14:textFill>
        </w:rPr>
        <w:t>4.0%</w:t>
      </w:r>
      <w:r>
        <w:rPr>
          <w:rFonts w:hint="eastAsia"/>
          <w:color w:val="000000" w:themeColor="text1"/>
          <w14:textFill>
            <w14:solidFill>
              <w14:schemeClr w14:val="tx1"/>
            </w14:solidFill>
          </w14:textFill>
        </w:rPr>
        <w:t>以上，乳蛋白率达到</w:t>
      </w:r>
      <w:r>
        <w:rPr>
          <w:color w:val="000000" w:themeColor="text1"/>
          <w14:textFill>
            <w14:solidFill>
              <w14:schemeClr w14:val="tx1"/>
            </w14:solidFill>
          </w14:textFill>
        </w:rPr>
        <w:t>3.42%</w:t>
      </w:r>
      <w:r>
        <w:rPr>
          <w:rFonts w:hint="eastAsia"/>
          <w:color w:val="000000" w:themeColor="text1"/>
          <w14:textFill>
            <w14:solidFill>
              <w14:schemeClr w14:val="tx1"/>
            </w14:solidFill>
          </w14:textFill>
        </w:rPr>
        <w:t>以上，研发推广了“聚牧城”、“爱养牛”信息平台，提升养殖场数字化智能化水平。</w:t>
      </w:r>
      <w:r>
        <w:rPr>
          <w:rFonts w:hint="eastAsia"/>
          <w:b/>
          <w:bCs/>
          <w:color w:val="000000" w:themeColor="text1"/>
          <w14:textFill>
            <w14:solidFill>
              <w14:schemeClr w14:val="tx1"/>
            </w14:solidFill>
          </w14:textFill>
        </w:rPr>
        <w:t>三是饲草生产能力明显提高。</w:t>
      </w:r>
      <w:r>
        <w:rPr>
          <w:rFonts w:hint="eastAsia"/>
          <w:color w:val="000000" w:themeColor="text1"/>
          <w14:textFill>
            <w14:solidFill>
              <w14:schemeClr w14:val="tx1"/>
            </w14:solidFill>
          </w14:textFill>
        </w:rPr>
        <w:t>依托粮改饲和高产优质苜蓿等项目，实施了饲草料保障能力提升工程，全市优质苜蓿种植面积</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2万亩以上，青贮玉米种植面积</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万亩，供应饲草近300万吨，青贮玉米自给率达到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，苜蓿、青贮玉米生产机械化率大幅提升。</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现代乳产业集群已经形成</w:t>
      </w:r>
    </w:p>
    <w:p>
      <w:pPr>
        <w:ind w:firstLine="562"/>
        <w:rPr>
          <w:color w:val="000000" w:themeColor="text1"/>
          <w14:textFill>
            <w14:solidFill>
              <w14:schemeClr w14:val="tx1"/>
            </w14:solidFill>
          </w14:textFill>
        </w:rPr>
      </w:pPr>
      <w:r>
        <w:rPr>
          <w:rFonts w:hint="eastAsia"/>
          <w:b/>
          <w:bCs/>
          <w:color w:val="000000" w:themeColor="text1"/>
          <w:kern w:val="0"/>
          <w14:textFill>
            <w14:solidFill>
              <w14:schemeClr w14:val="tx1"/>
            </w14:solidFill>
          </w14:textFill>
        </w:rPr>
        <w:t>一是乳制品加工业实力居全国前列。</w:t>
      </w:r>
      <w:r>
        <w:rPr>
          <w:rFonts w:hint="eastAsia"/>
          <w:color w:val="000000" w:themeColor="text1"/>
          <w:kern w:val="0"/>
          <w14:textFill>
            <w14:solidFill>
              <w14:schemeClr w14:val="tx1"/>
            </w14:solidFill>
          </w14:textFill>
        </w:rPr>
        <w:t>全市</w:t>
      </w:r>
      <w:r>
        <w:rPr>
          <w:rFonts w:hint="eastAsia"/>
          <w:color w:val="000000" w:themeColor="text1"/>
          <w14:textFill>
            <w14:solidFill>
              <w14:schemeClr w14:val="tx1"/>
            </w14:solidFill>
          </w14:textFill>
        </w:rPr>
        <w:t>形成了规模化、现代化、全产业链发展的千亿元级乳产业集群，</w:t>
      </w:r>
      <w:r>
        <w:rPr>
          <w:color w:val="000000" w:themeColor="text1"/>
          <w:kern w:val="0"/>
          <w14:textFill>
            <w14:solidFill>
              <w14:schemeClr w14:val="tx1"/>
            </w14:solidFill>
          </w14:textFill>
        </w:rPr>
        <w:t>2019</w:t>
      </w:r>
      <w:r>
        <w:rPr>
          <w:rFonts w:hint="eastAsia"/>
          <w:color w:val="000000" w:themeColor="text1"/>
          <w:kern w:val="0"/>
          <w14:textFill>
            <w14:solidFill>
              <w14:schemeClr w14:val="tx1"/>
            </w14:solidFill>
          </w14:textFill>
        </w:rPr>
        <w:t>年，全市乳制品业实现产值</w:t>
      </w:r>
      <w:r>
        <w:rPr>
          <w:color w:val="000000" w:themeColor="text1"/>
          <w:kern w:val="0"/>
          <w14:textFill>
            <w14:solidFill>
              <w14:schemeClr w14:val="tx1"/>
            </w14:solidFill>
          </w14:textFill>
        </w:rPr>
        <w:t>2005.86</w:t>
      </w:r>
      <w:r>
        <w:rPr>
          <w:rFonts w:hint="eastAsia"/>
          <w:color w:val="000000" w:themeColor="text1"/>
          <w:kern w:val="0"/>
          <w14:textFill>
            <w14:solidFill>
              <w14:schemeClr w14:val="tx1"/>
            </w14:solidFill>
          </w14:textFill>
        </w:rPr>
        <w:t>亿元，占全国乳制品行业总产值的</w:t>
      </w:r>
      <w:r>
        <w:rPr>
          <w:color w:val="000000" w:themeColor="text1"/>
          <w:kern w:val="0"/>
          <w14:textFill>
            <w14:solidFill>
              <w14:schemeClr w14:val="tx1"/>
            </w14:solidFill>
          </w14:textFill>
        </w:rPr>
        <w:t>50.7%</w:t>
      </w:r>
      <w:r>
        <w:rPr>
          <w:rFonts w:hint="eastAsia"/>
          <w:color w:val="000000" w:themeColor="text1"/>
          <w:kern w:val="0"/>
          <w14:textFill>
            <w14:solidFill>
              <w14:schemeClr w14:val="tx1"/>
            </w14:solidFill>
          </w14:textFill>
        </w:rPr>
        <w:t>，位居全国乳制品产业十大城市之首，稳居全球乳制品产业第一阵营。依托伊利、蒙牛等龙头企业，打造了土默特左旗和和林格尔县两大乳制品加工产业集群，形成了液体乳、乳粉及各类特色奶制品产品体系，2020年，伊利、蒙牛营业收入分别达到986.86亿元、760.348亿元，分列全球乳业</w:t>
      </w:r>
      <w:r>
        <w:rPr>
          <w:rFonts w:hint="eastAsia"/>
          <w:color w:val="000000" w:themeColor="text1"/>
          <w14:textFill>
            <w14:solidFill>
              <w14:schemeClr w14:val="tx1"/>
            </w14:solidFill>
          </w14:textFill>
        </w:rPr>
        <w:t>第5位、第8位</w:t>
      </w:r>
      <w:r>
        <w:rPr>
          <w:rFonts w:hint="eastAsia"/>
          <w:color w:val="000000" w:themeColor="text1"/>
          <w:kern w:val="0"/>
          <w14:textFill>
            <w14:solidFill>
              <w14:schemeClr w14:val="tx1"/>
            </w14:solidFill>
          </w14:textFill>
        </w:rPr>
        <w:t>，全球品牌价值评估权威机构Brand Finance发布了的“全球最有价值乳制品品牌10强”排行榜中，伊利位居全球第1,蒙牛位列第3位。培养了民族特色乳制品加工企业</w:t>
      </w:r>
      <w:r>
        <w:rPr>
          <w:color w:val="000000" w:themeColor="text1"/>
          <w:kern w:val="0"/>
          <w14:textFill>
            <w14:solidFill>
              <w14:schemeClr w14:val="tx1"/>
            </w14:solidFill>
          </w14:textFill>
        </w:rPr>
        <w:t>20</w:t>
      </w:r>
      <w:r>
        <w:rPr>
          <w:rFonts w:hint="eastAsia"/>
          <w:color w:val="000000" w:themeColor="text1"/>
          <w:kern w:val="0"/>
          <w14:textFill>
            <w14:solidFill>
              <w14:schemeClr w14:val="tx1"/>
            </w14:solidFill>
          </w14:textFill>
        </w:rPr>
        <w:t>多家，以内蒙古泰利达乳业有限公司为代表，开发了奶茶、奶片、奶食三大系列</w:t>
      </w:r>
      <w:r>
        <w:rPr>
          <w:color w:val="000000" w:themeColor="text1"/>
          <w:kern w:val="0"/>
          <w14:textFill>
            <w14:solidFill>
              <w14:schemeClr w14:val="tx1"/>
            </w14:solidFill>
          </w14:textFill>
        </w:rPr>
        <w:t>100</w:t>
      </w:r>
      <w:r>
        <w:rPr>
          <w:rFonts w:hint="eastAsia"/>
          <w:color w:val="000000" w:themeColor="text1"/>
          <w:kern w:val="0"/>
          <w14:textFill>
            <w14:solidFill>
              <w14:schemeClr w14:val="tx1"/>
            </w14:solidFill>
          </w14:textFill>
        </w:rPr>
        <w:t>多个单品产品。</w:t>
      </w:r>
      <w:r>
        <w:rPr>
          <w:rFonts w:hint="eastAsia"/>
          <w:b/>
          <w:bCs/>
          <w:color w:val="000000" w:themeColor="text1"/>
          <w:kern w:val="0"/>
          <w14:textFill>
            <w14:solidFill>
              <w14:schemeClr w14:val="tx1"/>
            </w14:solidFill>
          </w14:textFill>
        </w:rPr>
        <w:t>二是上下游配套产业不断完善。</w:t>
      </w:r>
      <w:r>
        <w:rPr>
          <w:color w:val="000000" w:themeColor="text1"/>
          <w:kern w:val="0"/>
          <w14:textFill>
            <w14:solidFill>
              <w14:schemeClr w14:val="tx1"/>
            </w14:solidFill>
          </w14:textFill>
        </w:rPr>
        <w:t>2019</w:t>
      </w:r>
      <w:r>
        <w:rPr>
          <w:rFonts w:hint="eastAsia"/>
          <w:color w:val="000000" w:themeColor="text1"/>
          <w:kern w:val="0"/>
          <w14:textFill>
            <w14:solidFill>
              <w14:schemeClr w14:val="tx1"/>
            </w14:solidFill>
          </w14:textFill>
        </w:rPr>
        <w:t>年底，全市拥有规模以上</w:t>
      </w:r>
      <w:r>
        <w:rPr>
          <w:rFonts w:hint="eastAsia"/>
          <w:color w:val="000000" w:themeColor="text1"/>
          <w14:textFill>
            <w14:solidFill>
              <w14:schemeClr w14:val="tx1"/>
            </w14:solidFill>
          </w14:textFill>
        </w:rPr>
        <w:t>奶业上下游</w:t>
      </w:r>
      <w:r>
        <w:rPr>
          <w:rFonts w:hint="eastAsia"/>
          <w:color w:val="000000" w:themeColor="text1"/>
          <w:kern w:val="0"/>
          <w14:textFill>
            <w14:solidFill>
              <w14:schemeClr w14:val="tx1"/>
            </w14:solidFill>
          </w14:textFill>
        </w:rPr>
        <w:t>产业化企业</w:t>
      </w:r>
      <w:r>
        <w:rPr>
          <w:color w:val="000000" w:themeColor="text1"/>
          <w:kern w:val="0"/>
          <w14:textFill>
            <w14:solidFill>
              <w14:schemeClr w14:val="tx1"/>
            </w14:solidFill>
          </w14:textFill>
        </w:rPr>
        <w:t>144</w:t>
      </w:r>
      <w:r>
        <w:rPr>
          <w:rFonts w:hint="eastAsia"/>
          <w:color w:val="000000" w:themeColor="text1"/>
          <w:kern w:val="0"/>
          <w14:textFill>
            <w14:solidFill>
              <w14:schemeClr w14:val="tx1"/>
            </w14:solidFill>
          </w14:textFill>
        </w:rPr>
        <w:t>家，高新技术企业31家，涵盖了动物检疫、生产设备、乳品包装、乳品加工、乳品销售等上下游产业链环节，引进了全球最大饮品包材企业利乐集团，拥有金宇生物、金河生物等生物医药领域的国家高新技术企业。农旅融合发展水平不断提高，围绕敕勒川味道、草原文化等打造了奶业文化观光体验路线，依托伊利、蒙牛现代化生产基地，建成</w:t>
      </w:r>
      <w:r>
        <w:rPr>
          <w:color w:val="000000" w:themeColor="text1"/>
          <w:kern w:val="0"/>
          <w14:textFill>
            <w14:solidFill>
              <w14:schemeClr w14:val="tx1"/>
            </w14:solidFill>
          </w14:textFill>
        </w:rPr>
        <w:t>2</w:t>
      </w:r>
      <w:r>
        <w:rPr>
          <w:rFonts w:hint="eastAsia"/>
          <w:color w:val="000000" w:themeColor="text1"/>
          <w:kern w:val="0"/>
          <w14:textFill>
            <w14:solidFill>
              <w14:schemeClr w14:val="tx1"/>
            </w14:solidFill>
          </w14:textFill>
        </w:rPr>
        <w:t>个乳业文化观光体验园。</w:t>
      </w:r>
      <w:r>
        <w:rPr>
          <w:rFonts w:hint="eastAsia"/>
          <w:b/>
          <w:bCs/>
          <w:color w:val="000000" w:themeColor="text1"/>
          <w:kern w:val="0"/>
          <w14:textFill>
            <w14:solidFill>
              <w14:schemeClr w14:val="tx1"/>
            </w14:solidFill>
          </w14:textFill>
        </w:rPr>
        <w:t>三是</w:t>
      </w:r>
      <w:r>
        <w:rPr>
          <w:rFonts w:hint="eastAsia"/>
          <w:color w:val="000000" w:themeColor="text1"/>
          <w:kern w:val="0"/>
          <w14:textFill>
            <w14:solidFill>
              <w14:schemeClr w14:val="tx1"/>
            </w14:solidFill>
          </w14:textFill>
        </w:rPr>
        <w:t>“</w:t>
      </w:r>
      <w:r>
        <w:rPr>
          <w:rFonts w:hint="eastAsia"/>
          <w:b/>
          <w:bCs/>
          <w:color w:val="000000" w:themeColor="text1"/>
          <w:kern w:val="0"/>
          <w14:textFill>
            <w14:solidFill>
              <w14:schemeClr w14:val="tx1"/>
            </w14:solidFill>
          </w14:textFill>
        </w:rPr>
        <w:t>中国乳都</w:t>
      </w:r>
      <w:r>
        <w:rPr>
          <w:rFonts w:hint="eastAsia"/>
          <w:color w:val="000000" w:themeColor="text1"/>
          <w:kern w:val="0"/>
          <w14:textFill>
            <w14:solidFill>
              <w14:schemeClr w14:val="tx1"/>
            </w14:solidFill>
          </w14:textFill>
        </w:rPr>
        <w:t>”</w:t>
      </w:r>
      <w:r>
        <w:rPr>
          <w:rFonts w:hint="eastAsia"/>
          <w:b/>
          <w:bCs/>
          <w:color w:val="000000" w:themeColor="text1"/>
          <w:kern w:val="0"/>
          <w14:textFill>
            <w14:solidFill>
              <w14:schemeClr w14:val="tx1"/>
            </w14:solidFill>
          </w14:textFill>
        </w:rPr>
        <w:t>品牌影响力不断提升。</w:t>
      </w:r>
      <w:r>
        <w:rPr>
          <w:rFonts w:hint="eastAsia"/>
          <w:color w:val="000000" w:themeColor="text1"/>
          <w14:textFill>
            <w14:solidFill>
              <w14:schemeClr w14:val="tx1"/>
            </w14:solidFill>
          </w14:textFill>
        </w:rPr>
        <w:t>拥有伊利、蒙牛等知名企业品牌，打造了金领冠、优酸乳、特仑苏、冠益乳、未来星等国内外驰名商标，主要产品畅销全国。伊利、蒙牛</w:t>
      </w:r>
      <w:r>
        <w:rPr>
          <w:rFonts w:hint="eastAsia"/>
          <w:color w:val="000000" w:themeColor="text1"/>
          <w:kern w:val="0"/>
          <w14:textFill>
            <w14:solidFill>
              <w14:schemeClr w14:val="tx1"/>
            </w14:solidFill>
          </w14:textFill>
        </w:rPr>
        <w:t>产品品牌达到</w:t>
      </w:r>
      <w:r>
        <w:rPr>
          <w:color w:val="000000" w:themeColor="text1"/>
          <w:kern w:val="0"/>
          <w14:textFill>
            <w14:solidFill>
              <w14:schemeClr w14:val="tx1"/>
            </w14:solidFill>
          </w14:textFill>
        </w:rPr>
        <w:t>69</w:t>
      </w:r>
      <w:r>
        <w:rPr>
          <w:rFonts w:hint="eastAsia"/>
          <w:color w:val="000000" w:themeColor="text1"/>
          <w:kern w:val="0"/>
          <w14:textFill>
            <w14:solidFill>
              <w14:schemeClr w14:val="tx1"/>
            </w14:solidFill>
          </w14:textFill>
        </w:rPr>
        <w:t>个，产品品牌价值达到</w:t>
      </w:r>
      <w:r>
        <w:rPr>
          <w:color w:val="000000" w:themeColor="text1"/>
          <w:kern w:val="0"/>
          <w14:textFill>
            <w14:solidFill>
              <w14:schemeClr w14:val="tx1"/>
            </w14:solidFill>
          </w14:textFill>
        </w:rPr>
        <w:t>1195</w:t>
      </w:r>
      <w:r>
        <w:rPr>
          <w:rFonts w:hint="eastAsia"/>
          <w:color w:val="000000" w:themeColor="text1"/>
          <w:kern w:val="0"/>
          <w14:textFill>
            <w14:solidFill>
              <w14:schemeClr w14:val="tx1"/>
            </w14:solidFill>
          </w14:textFill>
        </w:rPr>
        <w:t>亿以上，</w:t>
      </w:r>
      <w:r>
        <w:rPr>
          <w:rFonts w:hint="eastAsia"/>
          <w:color w:val="000000" w:themeColor="text1"/>
          <w14:textFill>
            <w14:solidFill>
              <w14:schemeClr w14:val="tx1"/>
            </w14:solidFill>
          </w14:textFill>
        </w:rPr>
        <w:t>主要产品市场占有率均居全国甚至全球前列。</w:t>
      </w:r>
      <w:r>
        <w:rPr>
          <w:rFonts w:hint="eastAsia"/>
          <w:color w:val="000000" w:themeColor="text1"/>
          <w:kern w:val="0"/>
          <w14:textFill>
            <w14:solidFill>
              <w14:schemeClr w14:val="tx1"/>
            </w14:solidFill>
          </w14:textFill>
        </w:rPr>
        <w:t>拥有“草原情”等民族特色奶制品品牌，区域公用品牌“敕勒川味道”已完成申请注册，乳都城市品牌价值明显提升，已</w:t>
      </w:r>
      <w:r>
        <w:rPr>
          <w:rFonts w:hint="eastAsia"/>
          <w:color w:val="000000" w:themeColor="text1"/>
          <w14:textFill>
            <w14:solidFill>
              <w14:schemeClr w14:val="tx1"/>
            </w14:solidFill>
          </w14:textFill>
        </w:rPr>
        <w:t>成为全国最具活力的乳产业高地。</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奶业创新研发能力不断增强</w:t>
      </w:r>
    </w:p>
    <w:p>
      <w:pPr>
        <w:ind w:firstLine="562"/>
        <w:rPr>
          <w:b/>
          <w:bCs/>
          <w:color w:val="000000" w:themeColor="text1"/>
          <w14:textFill>
            <w14:solidFill>
              <w14:schemeClr w14:val="tx1"/>
            </w14:solidFill>
          </w14:textFill>
        </w:rPr>
      </w:pPr>
      <w:r>
        <w:rPr>
          <w:rFonts w:hint="eastAsia"/>
          <w:b/>
          <w:bCs/>
          <w:color w:val="000000" w:themeColor="text1"/>
          <w:kern w:val="0"/>
          <w14:textFill>
            <w14:solidFill>
              <w14:schemeClr w14:val="tx1"/>
            </w14:solidFill>
          </w14:textFill>
        </w:rPr>
        <w:t>一是高水平奶业科研平台齐聚。</w:t>
      </w:r>
      <w:r>
        <w:rPr>
          <w:rFonts w:hint="eastAsia"/>
          <w:color w:val="000000" w:themeColor="text1"/>
          <w:kern w:val="0"/>
          <w14:textFill>
            <w14:solidFill>
              <w14:schemeClr w14:val="tx1"/>
            </w14:solidFill>
          </w14:textFill>
        </w:rPr>
        <w:t>全市拥有内蒙古大学、内蒙古农业大学、</w:t>
      </w:r>
      <w:r>
        <w:rPr>
          <w:rFonts w:hint="eastAsia"/>
          <w:color w:val="000000" w:themeColor="text1"/>
          <w14:textFill>
            <w14:solidFill>
              <w14:schemeClr w14:val="tx1"/>
            </w14:solidFill>
          </w14:textFill>
        </w:rPr>
        <w:t>中国农业科学院草原研究所、内蒙古自治区农牧业科学院</w:t>
      </w:r>
      <w:r>
        <w:rPr>
          <w:rFonts w:hint="eastAsia"/>
          <w:color w:val="000000" w:themeColor="text1"/>
          <w:kern w:val="0"/>
          <w14:textFill>
            <w14:solidFill>
              <w14:schemeClr w14:val="tx1"/>
            </w14:solidFill>
          </w14:textFill>
        </w:rPr>
        <w:t>所等一批全国高水平奶牛产业科研院所，建立了国家级、省级创新载体46家，其中国家级企业技术中心、工程技术中心等国家创新平台22家，与孙宝国院士、任发政院士等国内顶级专家建立了良好的研发合作关系，拥有高中级技术人员1235人，专业资质人员共30989人。与新西兰安硕、梅西大学、丹麦阿拉福兹等50多家国际科研机构、国际知名公司建成了产学研合作关系，成立“中澳乳品未来技术联合研究中心”“中国-丹麦乳品技术合作中心”等国际一流的乳制品产学研合作平台。</w:t>
      </w:r>
      <w:r>
        <w:rPr>
          <w:rFonts w:hint="eastAsia"/>
          <w:b/>
          <w:bCs/>
          <w:color w:val="000000" w:themeColor="text1"/>
          <w:kern w:val="0"/>
          <w14:textFill>
            <w14:solidFill>
              <w14:schemeClr w14:val="tx1"/>
            </w14:solidFill>
          </w14:textFill>
        </w:rPr>
        <w:t>二是乳业技术创新全国领跑。</w:t>
      </w:r>
      <w:r>
        <w:rPr>
          <w:rFonts w:hint="eastAsia"/>
          <w:color w:val="000000" w:themeColor="text1"/>
          <w:kern w:val="0"/>
          <w14:textFill>
            <w14:solidFill>
              <w14:schemeClr w14:val="tx1"/>
            </w14:solidFill>
          </w14:textFill>
        </w:rPr>
        <w:t>注重科技创新，在乳制品工艺、技术、产品上不断实现突破，2019年，市内乳企获得发明专利授权99件。依托赛科星、优然牧业、富源牧业等公司，建成国家级核心育种场，开展奶牛良种繁育技术攻关，培育国际注册种公牛</w:t>
      </w:r>
      <w:r>
        <w:rPr>
          <w:color w:val="000000" w:themeColor="text1"/>
          <w:kern w:val="0"/>
          <w14:textFill>
            <w14:solidFill>
              <w14:schemeClr w14:val="tx1"/>
            </w14:solidFill>
          </w14:textFill>
        </w:rPr>
        <w:t>113</w:t>
      </w:r>
      <w:r>
        <w:rPr>
          <w:rFonts w:hint="eastAsia"/>
          <w:color w:val="000000" w:themeColor="text1"/>
          <w:kern w:val="0"/>
          <w14:textFill>
            <w14:solidFill>
              <w14:schemeClr w14:val="tx1"/>
            </w14:solidFill>
          </w14:textFill>
        </w:rPr>
        <w:t>头，其中</w:t>
      </w:r>
      <w:r>
        <w:rPr>
          <w:color w:val="000000" w:themeColor="text1"/>
          <w:kern w:val="0"/>
          <w14:textFill>
            <w14:solidFill>
              <w14:schemeClr w14:val="tx1"/>
            </w14:solidFill>
          </w14:textFill>
        </w:rPr>
        <w:t>TPI</w:t>
      </w:r>
      <w:r>
        <w:rPr>
          <w:rFonts w:hint="eastAsia"/>
          <w:color w:val="000000" w:themeColor="text1"/>
          <w:kern w:val="0"/>
          <w14:textFill>
            <w14:solidFill>
              <w14:schemeClr w14:val="tx1"/>
            </w14:solidFill>
          </w14:textFill>
        </w:rPr>
        <w:t>大于</w:t>
      </w:r>
      <w:r>
        <w:rPr>
          <w:color w:val="000000" w:themeColor="text1"/>
          <w:kern w:val="0"/>
          <w14:textFill>
            <w14:solidFill>
              <w14:schemeClr w14:val="tx1"/>
            </w14:solidFill>
          </w14:textFill>
        </w:rPr>
        <w:t>2800</w:t>
      </w:r>
      <w:r>
        <w:rPr>
          <w:rFonts w:hint="eastAsia"/>
          <w:color w:val="000000" w:themeColor="text1"/>
          <w:kern w:val="0"/>
          <w14:textFill>
            <w14:solidFill>
              <w14:schemeClr w14:val="tx1"/>
            </w14:solidFill>
          </w14:textFill>
        </w:rPr>
        <w:t>的</w:t>
      </w:r>
      <w:r>
        <w:rPr>
          <w:color w:val="000000" w:themeColor="text1"/>
          <w:kern w:val="0"/>
          <w14:textFill>
            <w14:solidFill>
              <w14:schemeClr w14:val="tx1"/>
            </w14:solidFill>
          </w14:textFill>
        </w:rPr>
        <w:t>2</w:t>
      </w:r>
      <w:r>
        <w:rPr>
          <w:rFonts w:hint="eastAsia"/>
          <w:color w:val="000000" w:themeColor="text1"/>
          <w:kern w:val="0"/>
          <w14:textFill>
            <w14:solidFill>
              <w14:schemeClr w14:val="tx1"/>
            </w14:solidFill>
          </w14:textFill>
        </w:rPr>
        <w:t>头，处于国内顶级育种水平，全市奶牛良种覆盖率达到</w:t>
      </w:r>
      <w:r>
        <w:rPr>
          <w:color w:val="000000" w:themeColor="text1"/>
          <w:kern w:val="0"/>
          <w14:textFill>
            <w14:solidFill>
              <w14:schemeClr w14:val="tx1"/>
            </w14:solidFill>
          </w14:textFill>
        </w:rPr>
        <w:t>100%</w:t>
      </w:r>
      <w:r>
        <w:rPr>
          <w:rFonts w:hint="eastAsia"/>
          <w:color w:val="000000" w:themeColor="text1"/>
          <w:kern w:val="0"/>
          <w14:textFill>
            <w14:solidFill>
              <w14:schemeClr w14:val="tx1"/>
            </w14:solidFill>
          </w14:textFill>
        </w:rPr>
        <w:t>。建成国内权威奶牛</w:t>
      </w:r>
      <w:r>
        <w:rPr>
          <w:color w:val="000000" w:themeColor="text1"/>
          <w:kern w:val="0"/>
          <w14:textFill>
            <w14:solidFill>
              <w14:schemeClr w14:val="tx1"/>
            </w14:solidFill>
          </w14:textFill>
        </w:rPr>
        <w:t>DHI</w:t>
      </w:r>
      <w:r>
        <w:rPr>
          <w:rFonts w:hint="eastAsia"/>
          <w:color w:val="000000" w:themeColor="text1"/>
          <w:kern w:val="0"/>
          <w14:textFill>
            <w14:solidFill>
              <w14:schemeClr w14:val="tx1"/>
            </w14:solidFill>
          </w14:textFill>
        </w:rPr>
        <w:t>检测中心，奶牛生产性能检测能力大幅提升。</w:t>
      </w:r>
      <w:r>
        <w:rPr>
          <w:rFonts w:hint="eastAsia"/>
          <w:b/>
          <w:bCs/>
          <w:color w:val="000000" w:themeColor="text1"/>
          <w:kern w:val="0"/>
          <w14:textFill>
            <w14:solidFill>
              <w14:schemeClr w14:val="tx1"/>
            </w14:solidFill>
          </w14:textFill>
        </w:rPr>
        <w:t>三是科技创新支持政策不断完善。</w:t>
      </w:r>
      <w:r>
        <w:rPr>
          <w:rFonts w:hint="eastAsia"/>
          <w:color w:val="000000" w:themeColor="text1"/>
          <w:kern w:val="0"/>
          <w14:textFill>
            <w14:solidFill>
              <w14:schemeClr w14:val="tx1"/>
            </w14:solidFill>
          </w14:textFill>
        </w:rPr>
        <w:t>制定《呼和浩特市人民政府关于进一步推动科技创新构建区域创新中心的实施意见（试行）》，不断提高乳业科技创新科研资金投入，</w:t>
      </w:r>
      <w:r>
        <w:rPr>
          <w:color w:val="000000" w:themeColor="text1"/>
          <w:kern w:val="0"/>
          <w14:textFill>
            <w14:solidFill>
              <w14:schemeClr w14:val="tx1"/>
            </w14:solidFill>
          </w14:textFill>
        </w:rPr>
        <w:t>2019</w:t>
      </w:r>
      <w:r>
        <w:rPr>
          <w:rFonts w:hint="eastAsia"/>
          <w:color w:val="000000" w:themeColor="text1"/>
          <w:kern w:val="0"/>
          <w14:textFill>
            <w14:solidFill>
              <w14:schemeClr w14:val="tx1"/>
            </w14:solidFill>
          </w14:textFill>
        </w:rPr>
        <w:t>年全市相关科研经费投入达到</w:t>
      </w:r>
      <w:r>
        <w:rPr>
          <w:color w:val="000000" w:themeColor="text1"/>
          <w:kern w:val="0"/>
          <w14:textFill>
            <w14:solidFill>
              <w14:schemeClr w14:val="tx1"/>
            </w14:solidFill>
          </w14:textFill>
        </w:rPr>
        <w:t>10.66</w:t>
      </w:r>
      <w:r>
        <w:rPr>
          <w:rFonts w:hint="eastAsia"/>
          <w:color w:val="000000" w:themeColor="text1"/>
          <w:kern w:val="0"/>
          <w14:textFill>
            <w14:solidFill>
              <w14:schemeClr w14:val="tx1"/>
            </w14:solidFill>
          </w14:textFill>
        </w:rPr>
        <w:t>亿元。实施《呼和浩特市培养引进使用高层次人才规定》《呼和浩特市推进人才优先发展战略的若干措施（试行）》等政策，专家公寓、科研补贴、税收减免等支持政策，人才吸引力明显增强</w:t>
      </w:r>
      <w:r>
        <w:rPr>
          <w:rFonts w:hint="eastAsia"/>
          <w:color w:val="000000" w:themeColor="text1"/>
          <w14:textFill>
            <w14:solidFill>
              <w14:schemeClr w14:val="tx1"/>
            </w14:solidFill>
          </w14:textFill>
        </w:rPr>
        <w:t>。</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奶业绿色发展水平不断提升</w:t>
      </w:r>
    </w:p>
    <w:p>
      <w:pPr>
        <w:ind w:firstLine="562"/>
        <w:rPr>
          <w:color w:val="000000" w:themeColor="text1"/>
          <w14:textFill>
            <w14:solidFill>
              <w14:schemeClr w14:val="tx1"/>
            </w14:solidFill>
          </w14:textFill>
        </w:rPr>
      </w:pPr>
      <w:r>
        <w:rPr>
          <w:rFonts w:hint="eastAsia"/>
          <w:b/>
          <w:bCs/>
          <w:color w:val="000000" w:themeColor="text1"/>
          <w:kern w:val="0"/>
          <w14:textFill>
            <w14:solidFill>
              <w14:schemeClr w14:val="tx1"/>
            </w14:solidFill>
          </w14:textFill>
        </w:rPr>
        <w:t>一是奶牛健康管理不断强化</w:t>
      </w:r>
      <w:r>
        <w:rPr>
          <w:rFonts w:hint="eastAsia"/>
          <w:color w:val="000000" w:themeColor="text1"/>
          <w:kern w:val="0"/>
          <w14:textFill>
            <w14:solidFill>
              <w14:schemeClr w14:val="tx1"/>
            </w14:solidFill>
          </w14:textFill>
        </w:rPr>
        <w:t>。严格动物防疫条件审查，对于规模养殖场，全面落实了疫病免疫、监测、检疫监管、无害化处理和应急处置等防控措施，建立了健康档案，确保养殖场生物安全。规范兽药使用，加大了疫病防控力度，抓好常见病综合防控，推进布病和结核病净化，实现了全市“</w:t>
      </w:r>
      <w:r>
        <w:rPr>
          <w:rFonts w:hint="eastAsia"/>
          <w:color w:val="000000" w:themeColor="text1"/>
          <w14:textFill>
            <w14:solidFill>
              <w14:schemeClr w14:val="tx1"/>
            </w14:solidFill>
          </w14:textFill>
        </w:rPr>
        <w:t>畜产品安全零事故</w:t>
      </w:r>
      <w:r>
        <w:rPr>
          <w:rFonts w:hint="eastAsia"/>
          <w:color w:val="000000" w:themeColor="text1"/>
          <w:kern w:val="0"/>
          <w14:textFill>
            <w14:solidFill>
              <w14:schemeClr w14:val="tx1"/>
            </w14:solidFill>
          </w14:textFill>
        </w:rPr>
        <w:t>”。</w:t>
      </w:r>
      <w:r>
        <w:rPr>
          <w:rFonts w:hint="eastAsia"/>
          <w:b/>
          <w:bCs/>
          <w:color w:val="000000" w:themeColor="text1"/>
          <w:kern w:val="0"/>
          <w14:textFill>
            <w14:solidFill>
              <w14:schemeClr w14:val="tx1"/>
            </w14:solidFill>
          </w14:textFill>
        </w:rPr>
        <w:t>二是乳产品质量安全实现全程可追溯。</w:t>
      </w:r>
      <w:r>
        <w:rPr>
          <w:rFonts w:hint="eastAsia"/>
          <w:bCs/>
          <w:color w:val="000000" w:themeColor="text1"/>
          <w:kern w:val="0"/>
          <w14:textFill>
            <w14:solidFill>
              <w14:schemeClr w14:val="tx1"/>
            </w14:solidFill>
          </w14:textFill>
        </w:rPr>
        <w:t>制订了</w:t>
      </w:r>
      <w:r>
        <w:rPr>
          <w:rFonts w:hint="eastAsia"/>
          <w:color w:val="000000" w:themeColor="text1"/>
          <w:kern w:val="0"/>
          <w14:textFill>
            <w14:solidFill>
              <w14:schemeClr w14:val="tx1"/>
            </w14:solidFill>
          </w14:textFill>
        </w:rPr>
        <w:t>《呼和浩特市生鲜乳质量安全管理试行办法》，建立了生鲜乳质量管理体系，生鲜乳合格率达到</w:t>
      </w:r>
      <w:r>
        <w:rPr>
          <w:color w:val="000000" w:themeColor="text1"/>
          <w:kern w:val="0"/>
          <w14:textFill>
            <w14:solidFill>
              <w14:schemeClr w14:val="tx1"/>
            </w14:solidFill>
          </w14:textFill>
        </w:rPr>
        <w:t>100%</w:t>
      </w:r>
      <w:r>
        <w:rPr>
          <w:rFonts w:hint="eastAsia"/>
          <w:color w:val="000000" w:themeColor="text1"/>
          <w:kern w:val="0"/>
          <w14:textFill>
            <w14:solidFill>
              <w14:schemeClr w14:val="tx1"/>
            </w14:solidFill>
          </w14:textFill>
        </w:rPr>
        <w:t>。以伊利、蒙牛为龙头的乳产品加工企业通过了</w:t>
      </w:r>
      <w:r>
        <w:rPr>
          <w:color w:val="000000" w:themeColor="text1"/>
          <w:kern w:val="0"/>
          <w14:textFill>
            <w14:solidFill>
              <w14:schemeClr w14:val="tx1"/>
            </w14:solidFill>
          </w14:textFill>
        </w:rPr>
        <w:t>ISO9001</w:t>
      </w:r>
      <w:r>
        <w:rPr>
          <w:rFonts w:hint="eastAsia"/>
          <w:color w:val="000000" w:themeColor="text1"/>
          <w:kern w:val="0"/>
          <w14:textFill>
            <w14:solidFill>
              <w14:schemeClr w14:val="tx1"/>
            </w14:solidFill>
          </w14:textFill>
        </w:rPr>
        <w:t>质量管理体系、</w:t>
      </w:r>
      <w:r>
        <w:rPr>
          <w:color w:val="000000" w:themeColor="text1"/>
          <w:kern w:val="0"/>
          <w14:textFill>
            <w14:solidFill>
              <w14:schemeClr w14:val="tx1"/>
            </w14:solidFill>
          </w14:textFill>
        </w:rPr>
        <w:t>FSSC22000</w:t>
      </w:r>
      <w:r>
        <w:rPr>
          <w:rFonts w:hint="eastAsia"/>
          <w:color w:val="000000" w:themeColor="text1"/>
          <w:kern w:val="0"/>
          <w14:textFill>
            <w14:solidFill>
              <w14:schemeClr w14:val="tx1"/>
            </w14:solidFill>
          </w14:textFill>
        </w:rPr>
        <w:t>食品安全管理体系、</w:t>
      </w:r>
      <w:r>
        <w:rPr>
          <w:color w:val="000000" w:themeColor="text1"/>
          <w:kern w:val="0"/>
          <w14:textFill>
            <w14:solidFill>
              <w14:schemeClr w14:val="tx1"/>
            </w14:solidFill>
          </w14:textFill>
        </w:rPr>
        <w:t>HACCP</w:t>
      </w:r>
      <w:r>
        <w:rPr>
          <w:rFonts w:hint="eastAsia"/>
          <w:color w:val="000000" w:themeColor="text1"/>
          <w:kern w:val="0"/>
          <w14:textFill>
            <w14:solidFill>
              <w14:schemeClr w14:val="tx1"/>
            </w14:solidFill>
          </w14:textFill>
        </w:rPr>
        <w:t>体系、</w:t>
      </w:r>
      <w:r>
        <w:rPr>
          <w:color w:val="000000" w:themeColor="text1"/>
          <w:kern w:val="0"/>
          <w14:textFill>
            <w14:solidFill>
              <w14:schemeClr w14:val="tx1"/>
            </w14:solidFill>
          </w14:textFill>
        </w:rPr>
        <w:t>BRC</w:t>
      </w:r>
      <w:r>
        <w:rPr>
          <w:rFonts w:hint="eastAsia"/>
          <w:color w:val="000000" w:themeColor="text1"/>
          <w:kern w:val="0"/>
          <w14:textFill>
            <w14:solidFill>
              <w14:schemeClr w14:val="tx1"/>
            </w14:solidFill>
          </w14:textFill>
        </w:rPr>
        <w:t>食品安全全球标准、诚信管理体系、环境管理体系及职业健康安全管理体系认证，建立了国内领先的食品安全溯源系统。</w:t>
      </w:r>
      <w:r>
        <w:rPr>
          <w:rFonts w:hint="eastAsia"/>
          <w:b/>
          <w:bCs/>
          <w:color w:val="000000" w:themeColor="text1"/>
          <w:kern w:val="0"/>
          <w14:textFill>
            <w14:solidFill>
              <w14:schemeClr w14:val="tx1"/>
            </w14:solidFill>
          </w14:textFill>
        </w:rPr>
        <w:t>三是粪肥利用种养结合快速发展。</w:t>
      </w:r>
      <w:r>
        <w:rPr>
          <w:rFonts w:hint="eastAsia"/>
          <w:color w:val="000000" w:themeColor="text1"/>
          <w:kern w:val="0"/>
          <w14:textFill>
            <w14:solidFill>
              <w14:schemeClr w14:val="tx1"/>
            </w14:solidFill>
          </w14:textFill>
        </w:rPr>
        <w:t>全市不断推进粪污资源化利用，实现奶牛养殖大县开展粪污资源化利用整县推进全覆盖，推动了奶牛养殖场粪污处理设施设备提升改造，基本建成了以牧场内部无害化处理后还田方式为主、市场化运营粪污集中处理中心为补充的环保处理模式。结合化肥负增长行动，推动了粪肥还田利用，促进了种养结合绿色循环发展，提升了耕地质量，粪污资源化利用率达到</w:t>
      </w:r>
      <w:r>
        <w:rPr>
          <w:color w:val="000000" w:themeColor="text1"/>
          <w:kern w:val="0"/>
          <w14:textFill>
            <w14:solidFill>
              <w14:schemeClr w14:val="tx1"/>
            </w14:solidFill>
          </w14:textFill>
        </w:rPr>
        <w:t>91%</w:t>
      </w:r>
      <w:r>
        <w:rPr>
          <w:rFonts w:hint="eastAsia"/>
          <w:color w:val="000000" w:themeColor="text1"/>
          <w14:textFill>
            <w14:solidFill>
              <w14:schemeClr w14:val="tx1"/>
            </w14:solidFill>
          </w14:textFill>
        </w:rPr>
        <w:t>。</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农企利益联结机制不断完善</w:t>
      </w:r>
    </w:p>
    <w:p>
      <w:pPr>
        <w:pStyle w:val="13"/>
        <w:ind w:firstLine="562"/>
        <w:rPr>
          <w:color w:val="000000" w:themeColor="text1"/>
          <w14:textFill>
            <w14:solidFill>
              <w14:schemeClr w14:val="tx1"/>
            </w14:solidFill>
          </w14:textFill>
        </w:rPr>
      </w:pPr>
      <w:r>
        <w:rPr>
          <w:rFonts w:hint="eastAsia"/>
          <w:b/>
          <w:bCs/>
          <w:color w:val="000000" w:themeColor="text1"/>
          <w:kern w:val="0"/>
          <w14:textFill>
            <w14:solidFill>
              <w14:schemeClr w14:val="tx1"/>
            </w14:solidFill>
          </w14:textFill>
        </w:rPr>
        <w:t>一是订单购销模式日渐完善。</w:t>
      </w:r>
      <w:r>
        <w:rPr>
          <w:rFonts w:hint="eastAsia"/>
          <w:color w:val="000000" w:themeColor="text1"/>
          <w:kern w:val="0"/>
          <w14:textFill>
            <w14:solidFill>
              <w14:schemeClr w14:val="tx1"/>
            </w14:solidFill>
          </w14:textFill>
        </w:rPr>
        <w:t>乳品企业与养殖场（户）签订并严格执行长期购销合同，实行“订单生产”。建立了诚信记录机制，对不履行长期购销合同的企业予以警示，确保了供需有效对接，避免了“奶贱伤农”或“奶贵伤企”的事件发生。</w:t>
      </w:r>
      <w:r>
        <w:rPr>
          <w:rFonts w:hint="eastAsia"/>
          <w:b/>
          <w:bCs/>
          <w:color w:val="000000" w:themeColor="text1"/>
          <w:kern w:val="0"/>
          <w14:textFill>
            <w14:solidFill>
              <w14:schemeClr w14:val="tx1"/>
            </w14:solidFill>
          </w14:textFill>
        </w:rPr>
        <w:t>二是普惠性金融保险覆盖率明显提高，</w:t>
      </w:r>
      <w:r>
        <w:rPr>
          <w:rFonts w:hint="eastAsia"/>
          <w:color w:val="000000" w:themeColor="text1"/>
          <w14:textFill>
            <w14:solidFill>
              <w14:schemeClr w14:val="tx1"/>
            </w14:solidFill>
          </w14:textFill>
        </w:rPr>
        <w:t>奶牛保险基本覆盖，支</w:t>
      </w:r>
      <w:r>
        <w:rPr>
          <w:rFonts w:hint="eastAsia"/>
          <w:color w:val="000000" w:themeColor="text1"/>
          <w:kern w:val="0"/>
          <w14:textFill>
            <w14:solidFill>
              <w14:schemeClr w14:val="tx1"/>
            </w14:solidFill>
          </w14:textFill>
        </w:rPr>
        <w:t>持服务牧场的普惠性金融发展，构建农牧业信贷担保服务体系，形成风险共担、面向农（牧）户的普遍服务机制，奶牛养殖普惠性金融覆盖率明显提高，全面提高牧场抗风险能力</w:t>
      </w:r>
      <w:r>
        <w:rPr>
          <w:rFonts w:hint="eastAsia"/>
          <w:color w:val="000000" w:themeColor="text1"/>
          <w14:textFill>
            <w14:solidFill>
              <w14:schemeClr w14:val="tx1"/>
            </w14:solidFill>
          </w14:textFill>
        </w:rPr>
        <w:t>。</w:t>
      </w:r>
    </w:p>
    <w:p>
      <w:pPr>
        <w:pStyle w:val="3"/>
        <w:ind w:firstLine="643"/>
        <w:rPr>
          <w:color w:val="000000" w:themeColor="text1"/>
          <w14:textFill>
            <w14:solidFill>
              <w14:schemeClr w14:val="tx1"/>
            </w14:solidFill>
          </w14:textFill>
        </w:rPr>
      </w:pPr>
      <w:bookmarkStart w:id="7" w:name="_Toc80215036"/>
      <w:r>
        <w:rPr>
          <w:rFonts w:hint="eastAsia"/>
          <w:color w:val="000000" w:themeColor="text1"/>
          <w14:textFill>
            <w14:solidFill>
              <w14:schemeClr w14:val="tx1"/>
            </w14:solidFill>
          </w14:textFill>
        </w:rPr>
        <w:t>面临挑战</w:t>
      </w:r>
      <w:bookmarkEnd w:id="7"/>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一是科技创新支撑能力仍需增强。</w:t>
      </w:r>
      <w:r>
        <w:rPr>
          <w:rFonts w:hint="eastAsia"/>
          <w:color w:val="000000" w:themeColor="text1"/>
          <w14:textFill>
            <w14:solidFill>
              <w14:schemeClr w14:val="tx1"/>
            </w14:solidFill>
          </w14:textFill>
        </w:rPr>
        <w:t>呼和浩特市乳品产能、产值一直处于全国第一，但从优质牧草种植、奶牛良种繁育、乳制品基础理论研究，到生产加工设备、工艺技术应用、过程检测等方面的关键技术与核心技术，仍然掌握在发达国家手中，原创自主创新和独立研发动力明显不足，乳业整体水平与世界领先水平还存在不小差距。</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二是种业“卡脖子”问题亟待突破。</w:t>
      </w:r>
      <w:r>
        <w:rPr>
          <w:rFonts w:hint="eastAsia"/>
          <w:color w:val="000000" w:themeColor="text1"/>
          <w14:textFill>
            <w14:solidFill>
              <w14:schemeClr w14:val="tx1"/>
            </w14:solidFill>
          </w14:textFill>
        </w:rPr>
        <w:t>由于新冠疫情、国际形势等变化，优良品种奶牛、优质饲草进口渠道受到制约，加之</w:t>
      </w:r>
      <w:r>
        <w:rPr>
          <w:rFonts w:hint="eastAsia"/>
          <w:color w:val="000000" w:themeColor="text1"/>
          <w:kern w:val="0"/>
          <w14:textFill>
            <w14:solidFill>
              <w14:schemeClr w14:val="tx1"/>
            </w14:solidFill>
          </w14:textFill>
        </w:rPr>
        <w:t>国内其他省市奶牛快速发展，对优质奶牛需求急剧提升。但我市奶业</w:t>
      </w:r>
      <w:r>
        <w:rPr>
          <w:rFonts w:hint="eastAsia"/>
          <w:color w:val="000000" w:themeColor="text1"/>
          <w:shd w:val="clear" w:color="auto" w:fill="FFFFFF"/>
          <w14:textFill>
            <w14:solidFill>
              <w14:schemeClr w14:val="tx1"/>
            </w14:solidFill>
          </w14:textFill>
        </w:rPr>
        <w:t>核心种源仍依赖国外，</w:t>
      </w:r>
      <w:r>
        <w:rPr>
          <w:rFonts w:hint="eastAsia"/>
          <w:color w:val="000000" w:themeColor="text1"/>
          <w14:textFill>
            <w14:solidFill>
              <w14:schemeClr w14:val="tx1"/>
            </w14:solidFill>
          </w14:textFill>
        </w:rPr>
        <w:t>优质奶牛育种能力仍然不足，</w:t>
      </w:r>
      <w:r>
        <w:rPr>
          <w:rFonts w:hint="eastAsia"/>
          <w:color w:val="000000" w:themeColor="text1"/>
          <w:shd w:val="clear" w:color="auto" w:fill="FFFFFF"/>
          <w14:textFill>
            <w14:solidFill>
              <w14:schemeClr w14:val="tx1"/>
            </w14:solidFill>
          </w14:textFill>
        </w:rPr>
        <w:t>顶级资源进口受限，自主培育的种牛育种值与发达国家相比还有较大差距</w:t>
      </w:r>
      <w:r>
        <w:rPr>
          <w:rFonts w:hint="eastAsia"/>
          <w:color w:val="000000" w:themeColor="text1"/>
          <w14:textFill>
            <w14:solidFill>
              <w14:schemeClr w14:val="tx1"/>
            </w14:solidFill>
          </w14:textFill>
        </w:rPr>
        <w:t>。</w:t>
      </w:r>
      <w:r>
        <w:rPr>
          <w:rFonts w:hint="eastAsia"/>
          <w:color w:val="000000" w:themeColor="text1"/>
          <w:shd w:val="clear" w:color="auto" w:fill="FFFFFF"/>
          <w14:textFill>
            <w14:solidFill>
              <w14:schemeClr w14:val="tx1"/>
            </w14:solidFill>
          </w14:textFill>
        </w:rPr>
        <w:t>牧草种业核心创新能力不足，</w:t>
      </w:r>
      <w:r>
        <w:rPr>
          <w:rFonts w:hint="eastAsia"/>
          <w:color w:val="000000" w:themeColor="text1"/>
          <w14:textFill>
            <w14:solidFill>
              <w14:schemeClr w14:val="tx1"/>
            </w14:solidFill>
          </w14:textFill>
        </w:rPr>
        <w:t>优质牧草种植加工配套装备水平较低，苜蓿产量和品质不稳定，优质牧草供需失衡问题日益突出。</w:t>
      </w:r>
    </w:p>
    <w:p>
      <w:pPr>
        <w:ind w:firstLine="562"/>
        <w:rPr>
          <w:rFonts w:ascii="Arial" w:hAnsi="Arial" w:cs="Arial"/>
          <w:color w:val="000000" w:themeColor="text1"/>
          <w:shd w:val="clear" w:color="auto" w:fill="FFFFFF"/>
          <w14:textFill>
            <w14:solidFill>
              <w14:schemeClr w14:val="tx1"/>
            </w14:solidFill>
          </w14:textFill>
        </w:rPr>
      </w:pPr>
      <w:r>
        <w:rPr>
          <w:rFonts w:hint="eastAsia"/>
          <w:b/>
          <w:bCs/>
          <w:color w:val="000000" w:themeColor="text1"/>
          <w14:textFill>
            <w14:solidFill>
              <w14:schemeClr w14:val="tx1"/>
            </w14:solidFill>
          </w14:textFill>
        </w:rPr>
        <w:t>三是奶制品国际竞争力较弱。</w:t>
      </w:r>
      <w:r>
        <w:rPr>
          <w:rFonts w:hint="eastAsia"/>
          <w:color w:val="000000" w:themeColor="text1"/>
          <w14:textFill>
            <w14:solidFill>
              <w14:schemeClr w14:val="tx1"/>
            </w14:solidFill>
          </w14:textFill>
        </w:rPr>
        <w:t>目前，全市奶牛养殖业在养殖标准化、奶牛单产水平、牛奶生产成本等方面与世界主要奶产业发达国家之间还存在差距。</w:t>
      </w:r>
      <w:r>
        <w:rPr>
          <w:rFonts w:ascii="Arial" w:hAnsi="Arial" w:cs="Arial"/>
          <w:color w:val="000000" w:themeColor="text1"/>
          <w:shd w:val="clear" w:color="auto" w:fill="FFFFFF"/>
          <w14:textFill>
            <w14:solidFill>
              <w14:schemeClr w14:val="tx1"/>
            </w14:solidFill>
          </w14:textFill>
        </w:rPr>
        <w:t>乳制品进口依存度</w:t>
      </w:r>
      <w:r>
        <w:rPr>
          <w:rFonts w:hint="eastAsia"/>
          <w:color w:val="000000" w:themeColor="text1"/>
          <w14:textFill>
            <w14:solidFill>
              <w14:schemeClr w14:val="tx1"/>
            </w14:solidFill>
          </w14:textFill>
        </w:rPr>
        <w:t>较</w:t>
      </w:r>
      <w:r>
        <w:rPr>
          <w:rFonts w:ascii="Arial" w:hAnsi="Arial" w:cs="Arial"/>
          <w:color w:val="000000" w:themeColor="text1"/>
          <w:shd w:val="clear" w:color="auto" w:fill="FFFFFF"/>
          <w14:textFill>
            <w14:solidFill>
              <w14:schemeClr w14:val="tx1"/>
            </w14:solidFill>
          </w14:textFill>
        </w:rPr>
        <w:t>大</w:t>
      </w:r>
      <w:r>
        <w:rPr>
          <w:rFonts w:hint="eastAsia" w:ascii="Arial" w:hAnsi="Arial" w:cs="Arial"/>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高端奶制品尤其是乳清粉、婴幼儿奶粉市场竞争力仍然不高</w:t>
      </w:r>
      <w:r>
        <w:rPr>
          <w:rFonts w:hint="eastAsia" w:ascii="Arial" w:hAnsi="Arial" w:cs="Arial"/>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婴幼儿配方奶粉还处于起步阶段，与国外配方奶粉存在差距，且婴幼儿配方奶粉乳清主要依靠进口，本土奶粉市场份额占比较小。高端乳制品市场供给能力差距仍然较大，奶制品品类相对较少，如低脂、无糖等功能性产品少，奶酪、黄油等高附加值产品较少。同时，奶产品加工企业主要为伊利和蒙牛，中小乳制品加工企业较少，竞争力不强。</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四是资源环境约束有待破解。</w:t>
      </w:r>
      <w:r>
        <w:rPr>
          <w:rFonts w:hint="eastAsia"/>
          <w:color w:val="000000" w:themeColor="text1"/>
          <w14:textFill>
            <w14:solidFill>
              <w14:schemeClr w14:val="tx1"/>
            </w14:solidFill>
          </w14:textFill>
        </w:rPr>
        <w:t>呼和浩特市水土资源环境约束趋紧，农业建设用地指标匮乏，调整难度大。部分旗县区用水指标紧张，替代水源不足，地下水水质较差，达不到奶牛养殖的用水标准，一定程度制约标准化牧场及优质饲草种植基地的新建及改扩建升级。奶牛养殖呈集聚式发展，养殖规模与土地承载力匹配度低，牧场自行租赁集中连片的土地难度较大、土地流转价格高，导致实现种养结合难度加大，生态环境面临着日趋严峻的压力，“为养而种、种养结合、循环发展”的生态循环理念仍需加强。</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五是品牌文化影响力急需提升。</w:t>
      </w:r>
      <w:r>
        <w:rPr>
          <w:rFonts w:hint="eastAsia"/>
          <w:color w:val="000000" w:themeColor="text1"/>
          <w14:textFill>
            <w14:solidFill>
              <w14:schemeClr w14:val="tx1"/>
            </w14:solidFill>
          </w14:textFill>
        </w:rPr>
        <w:t>随着消费习惯改变和健康意识的增强，消费者对高品质乳制品需求日益旺盛。伊利与蒙牛已培育一批知名产品品牌，如安慕希、特伦苏、金典、纯甄、金领冠等，但高端乳制品品牌影响力仍需提升。民族奶制品与乳文化融合度较低，民族特色乳制品品牌建设、经营与管理理念薄弱，高品质、健康、自然环保的乳制品品牌新形象还尚未形成，品牌市场竞争力和影响力还亟需提升。</w:t>
      </w:r>
    </w:p>
    <w:p>
      <w:pPr>
        <w:pStyle w:val="3"/>
        <w:ind w:firstLine="643"/>
        <w:rPr>
          <w:color w:val="000000" w:themeColor="text1"/>
          <w14:textFill>
            <w14:solidFill>
              <w14:schemeClr w14:val="tx1"/>
            </w14:solidFill>
          </w14:textFill>
        </w:rPr>
      </w:pPr>
      <w:bookmarkStart w:id="8" w:name="_Toc80215037"/>
      <w:bookmarkStart w:id="9" w:name="_Toc51510924"/>
      <w:r>
        <w:rPr>
          <w:rFonts w:hint="eastAsia"/>
          <w:color w:val="000000" w:themeColor="text1"/>
          <w14:textFill>
            <w14:solidFill>
              <w14:schemeClr w14:val="tx1"/>
            </w14:solidFill>
          </w14:textFill>
        </w:rPr>
        <w:t>发展机遇</w:t>
      </w:r>
      <w:bookmarkEnd w:id="8"/>
      <w:bookmarkEnd w:id="9"/>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一是奶业振兴战略实施带来新推力。</w:t>
      </w:r>
      <w:r>
        <w:rPr>
          <w:rFonts w:hint="eastAsia"/>
          <w:color w:val="000000" w:themeColor="text1"/>
          <w14:textFill>
            <w14:solidFill>
              <w14:schemeClr w14:val="tx1"/>
            </w14:solidFill>
          </w14:textFill>
        </w:rPr>
        <w:t>《国务院办公厅关于推进奶业振兴保障乳品质量安全的意见》文件提出，加快构建现代奶业产业体系、生产体系、经营体系和质量安全体系，大力推进奶业现代化，做大做强民族奶业，为决胜全面建成小康社会提供有力支撑，为奶业振兴发展提供了政策保障。《乡村振兴战略规划（</w:t>
      </w:r>
      <w:r>
        <w:rPr>
          <w:color w:val="000000" w:themeColor="text1"/>
          <w14:textFill>
            <w14:solidFill>
              <w14:schemeClr w14:val="tx1"/>
            </w14:solidFill>
          </w14:textFill>
        </w:rPr>
        <w:t>2018—2022</w:t>
      </w:r>
      <w:r>
        <w:rPr>
          <w:rFonts w:hint="eastAsia"/>
          <w:color w:val="000000" w:themeColor="text1"/>
          <w14:textFill>
            <w14:solidFill>
              <w14:schemeClr w14:val="tx1"/>
            </w14:solidFill>
          </w14:textFill>
        </w:rPr>
        <w:t>年）》提出“产业兴旺、生态宜居、乡风文明、治理有效、生活富裕”的发展方向。国务院办公厅关于促进畜牧业高质量发展的意见提出应牢固树立新发展理念，以实施乡村振兴战略为引领，加快构建现代畜禽养殖、动物防疫和加工流通体系，不断增强畜牧业质量效益和竞争力，形成产出高效、产品安全、资源节约、环境友好、调控有效的高质量发展新格局，为奶业的振兴提供历史新机遇。</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二是农业高质量发展增强新助力。</w:t>
      </w:r>
      <w:r>
        <w:rPr>
          <w:rFonts w:hint="eastAsia"/>
          <w:color w:val="000000" w:themeColor="text1"/>
          <w14:textFill>
            <w14:solidFill>
              <w14:schemeClr w14:val="tx1"/>
            </w14:solidFill>
          </w14:textFill>
        </w:rPr>
        <w:t>《国家质量兴农战略规划（</w:t>
      </w:r>
      <w:r>
        <w:rPr>
          <w:color w:val="000000" w:themeColor="text1"/>
          <w14:textFill>
            <w14:solidFill>
              <w14:schemeClr w14:val="tx1"/>
            </w14:solidFill>
          </w14:textFill>
        </w:rPr>
        <w:t>2018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w:t>
      </w:r>
      <w:r>
        <w:rPr>
          <w:rFonts w:hint="eastAsia"/>
          <w:color w:val="000000" w:themeColor="text1"/>
          <w14:textFill>
            <w14:solidFill>
              <w14:schemeClr w14:val="tx1"/>
            </w14:solidFill>
          </w14:textFill>
        </w:rPr>
        <w:t>年）》提出了实施质量兴农战略的发展目标，应大力推进农业绿色化、优质化、特色化、品牌化。习近平总书记在黄河流域高质量发展座谈会上明确指出，要坚持生态优先、绿色发展，以水而定、量水而行，因地制宜、分类施策，促进黄河流域高质量发展。习近平总书记参加十三届全国人大二次会议内蒙古代表团审议时讲话指出，内蒙古应坚定不移走以生态优先绿色发展为导向的高质量发展新路子。上述政策均为推动奶业生产与生态协同发展指明了方向，随着高质量农业的快速发展，将为奶业的高质量发展提供新的推力。</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三是消费需求升级提供新拉力。</w:t>
      </w:r>
      <w:r>
        <w:rPr>
          <w:rFonts w:hint="eastAsia"/>
          <w:color w:val="000000" w:themeColor="text1"/>
          <w14:textFill>
            <w14:solidFill>
              <w14:schemeClr w14:val="tx1"/>
            </w14:solidFill>
          </w14:textFill>
        </w:rPr>
        <w:t>随着经济发展和生活条件改善，消费者需求呈现个性化、多样化、高品质化特点，尤其是对安全、优质、绿色奶制品的需求快速增长，市场潜力巨大，</w:t>
      </w:r>
      <w:r>
        <w:rPr>
          <w:rFonts w:hint="eastAsia" w:ascii="宋体" w:hAnsi="宋体"/>
          <w:color w:val="000000" w:themeColor="text1"/>
          <w14:textFill>
            <w14:solidFill>
              <w14:schemeClr w14:val="tx1"/>
            </w14:solidFill>
          </w14:textFill>
        </w:rPr>
        <w:t>为促进奶业绿色发展带来强大新拉力。</w:t>
      </w:r>
      <w:r>
        <w:rPr>
          <w:rFonts w:hint="eastAsia"/>
          <w:color w:val="000000" w:themeColor="text1"/>
          <w14:textFill>
            <w14:solidFill>
              <w14:schemeClr w14:val="tx1"/>
            </w14:solidFill>
          </w14:textFill>
        </w:rPr>
        <w:t>党的十九届五中全会提出，加快构建以国内大循环为主体、国内国际双循环相互促进的新发展格局，国家大力推动健康中国行动，将更加促进国民对奶制品的消费。“一带一路”奶业联盟的建立，促使国内的市场资源与国外的优质奶源、技术等进行对接，搭建了全球资源网络，实现了全球化产业链布局，拓宽了奶业国际合作领域，为中国奶业发展创造了更广阔的空间。在居民消费结构升级的背景下，乳制品供求结构性失衡的问题日益凸显，对优质液态乳品的需求快速增长，促使全市努力解决产业布局上资源和供给的结构性矛盾，有效满足中高端市场对优质乳制品的旺盛需求，提升奶业经济质量和效益。</w:t>
      </w:r>
    </w:p>
    <w:p>
      <w:pPr>
        <w:ind w:firstLine="562"/>
        <w:rPr>
          <w:color w:val="000000" w:themeColor="text1"/>
          <w14:textFill>
            <w14:solidFill>
              <w14:schemeClr w14:val="tx1"/>
            </w14:solidFill>
          </w14:textFill>
        </w:rPr>
      </w:pPr>
      <w:r>
        <w:rPr>
          <w:rFonts w:hint="eastAsia"/>
          <w:b/>
          <w:bCs/>
          <w:color w:val="000000" w:themeColor="text1"/>
          <w:kern w:val="0"/>
          <w14:textFill>
            <w14:solidFill>
              <w14:schemeClr w14:val="tx1"/>
            </w14:solidFill>
          </w14:textFill>
        </w:rPr>
        <w:t>四是科技革命兴起增添新动力。</w:t>
      </w:r>
      <w:r>
        <w:rPr>
          <w:rFonts w:hint="eastAsia"/>
          <w:color w:val="000000" w:themeColor="text1"/>
          <w:kern w:val="0"/>
          <w14:textFill>
            <w14:solidFill>
              <w14:schemeClr w14:val="tx1"/>
            </w14:solidFill>
          </w14:textFill>
        </w:rPr>
        <w:t>世界新科技革命浪潮风起云涌，新一轮产业革命和技术革命方兴未艾，基因工程、细胞工程、酶工程、发酵工程、生物电子工程、生物反应器、灭菌技术以及新兴的蛋白质工程等农业生物技术的推广应用，推动了优质饲草育种及奶牛良种繁育技术体系的建立和快速发展。</w:t>
      </w:r>
      <w:r>
        <w:rPr>
          <w:color w:val="000000" w:themeColor="text1"/>
          <w:kern w:val="0"/>
          <w14:textFill>
            <w14:solidFill>
              <w14:schemeClr w14:val="tx1"/>
            </w14:solidFill>
          </w14:textFill>
        </w:rPr>
        <w:t>5G</w:t>
      </w:r>
      <w:r>
        <w:rPr>
          <w:rFonts w:hint="eastAsia"/>
          <w:color w:val="000000" w:themeColor="text1"/>
          <w:kern w:val="0"/>
          <w14:textFill>
            <w14:solidFill>
              <w14:schemeClr w14:val="tx1"/>
            </w14:solidFill>
          </w14:textFill>
        </w:rPr>
        <w:t>、云计算、物联网、区块链等与农业交互联动，新产业新业态新模式不断涌现，为传统畜牧业转型发展带来巨大推力，为奶业发展增添了新动能，有利于奶业实现自动化和数字化。农产品电商、微商等打破了市场壁垒，减少了流通环节，提高了交易效率，有利于提高乳制品市场竞争力</w:t>
      </w:r>
      <w:r>
        <w:rPr>
          <w:rFonts w:hint="eastAsia"/>
          <w:color w:val="000000" w:themeColor="text1"/>
          <w14:textFill>
            <w14:solidFill>
              <w14:schemeClr w14:val="tx1"/>
            </w14:solidFill>
          </w14:textFill>
        </w:rPr>
        <w:t>。</w:t>
      </w:r>
      <w:r>
        <w:rPr>
          <w:color w:val="000000" w:themeColor="text1"/>
          <w14:textFill>
            <w14:solidFill>
              <w14:schemeClr w14:val="tx1"/>
            </w14:solidFill>
          </w14:textFill>
        </w:rPr>
        <w:br w:type="page"/>
      </w:r>
    </w:p>
    <w:p>
      <w:pPr>
        <w:pStyle w:val="2"/>
        <w:rPr>
          <w:color w:val="000000" w:themeColor="text1"/>
          <w14:textFill>
            <w14:solidFill>
              <w14:schemeClr w14:val="tx1"/>
            </w14:solidFill>
          </w14:textFill>
        </w:rPr>
      </w:pPr>
      <w:bookmarkStart w:id="10" w:name="_Toc80215038"/>
      <w:r>
        <w:rPr>
          <w:color w:val="000000" w:themeColor="text1"/>
          <w14:textFill>
            <w14:solidFill>
              <w14:schemeClr w14:val="tx1"/>
            </w14:solidFill>
          </w14:textFill>
        </w:rPr>
        <w:t>总体思路</w:t>
      </w:r>
      <w:bookmarkEnd w:id="10"/>
    </w:p>
    <w:p>
      <w:pPr>
        <w:pStyle w:val="3"/>
        <w:ind w:firstLine="643"/>
        <w:rPr>
          <w:color w:val="000000" w:themeColor="text1"/>
          <w:shd w:val="clear" w:color="auto" w:fill="FFFFFF"/>
          <w14:textFill>
            <w14:solidFill>
              <w14:schemeClr w14:val="tx1"/>
            </w14:solidFill>
          </w14:textFill>
        </w:rPr>
      </w:pPr>
      <w:bookmarkStart w:id="11" w:name="_Toc80215039"/>
      <w:r>
        <w:rPr>
          <w:rFonts w:hint="eastAsia"/>
          <w:color w:val="000000" w:themeColor="text1"/>
          <w:shd w:val="clear" w:color="auto" w:fill="FFFFFF"/>
          <w14:textFill>
            <w14:solidFill>
              <w14:schemeClr w14:val="tx1"/>
            </w14:solidFill>
          </w14:textFill>
        </w:rPr>
        <w:t>战略定位</w:t>
      </w:r>
      <w:bookmarkEnd w:id="11"/>
    </w:p>
    <w:p>
      <w:pPr>
        <w:ind w:firstLine="560"/>
        <w:rPr>
          <w:color w:val="000000" w:themeColor="text1"/>
          <w:shd w:val="clear" w:color="auto" w:fill="FFFFFF"/>
          <w14:textFill>
            <w14:solidFill>
              <w14:schemeClr w14:val="tx1"/>
            </w14:solidFill>
          </w14:textFill>
        </w:rPr>
      </w:pPr>
      <w:r>
        <w:rPr>
          <w:rFonts w:hint="eastAsia"/>
          <w:color w:val="000000" w:themeColor="text1"/>
          <w14:textFill>
            <w14:solidFill>
              <w14:schemeClr w14:val="tx1"/>
            </w14:solidFill>
          </w14:textFill>
        </w:rPr>
        <w:t>抢抓国家奶业振兴和农业高质量发展机遇，瞄准市场需求，把呼和浩特市建成现代乳业产能更强、质量更优、科技更高、开放共融的</w:t>
      </w:r>
      <w:r>
        <w:rPr>
          <w:rFonts w:hint="eastAsia"/>
          <w:b/>
          <w:bCs/>
          <w:color w:val="000000" w:themeColor="text1"/>
          <w:shd w:val="clear" w:color="auto" w:fill="FFFFFF"/>
          <w14:textFill>
            <w14:solidFill>
              <w14:schemeClr w14:val="tx1"/>
            </w14:solidFill>
          </w14:textFill>
        </w:rPr>
        <w:t>世界级乳业发展核心区</w:t>
      </w:r>
      <w:r>
        <w:rPr>
          <w:rFonts w:hint="eastAsia"/>
          <w:color w:val="000000" w:themeColor="text1"/>
          <w14:textFill>
            <w14:solidFill>
              <w14:schemeClr w14:val="tx1"/>
            </w14:solidFill>
          </w14:textFill>
        </w:rPr>
        <w:t>，全面</w:t>
      </w:r>
      <w:r>
        <w:rPr>
          <w:rFonts w:hint="eastAsia"/>
          <w:color w:val="000000" w:themeColor="text1"/>
          <w:shd w:val="clear" w:color="auto" w:fill="FFFFFF"/>
          <w14:textFill>
            <w14:solidFill>
              <w14:schemeClr w14:val="tx1"/>
            </w14:solidFill>
          </w14:textFill>
        </w:rPr>
        <w:t>提升“中国乳都”竞争力和国际地位。</w:t>
      </w:r>
    </w:p>
    <w:p>
      <w:pPr>
        <w:ind w:firstLine="562"/>
        <w:rPr>
          <w:rFonts w:ascii="Arial" w:hAnsi="Arial" w:cs="Arial"/>
          <w:color w:val="000000" w:themeColor="text1"/>
          <w:shd w:val="clear" w:color="auto" w:fill="FFFFFF"/>
          <w14:textFill>
            <w14:solidFill>
              <w14:schemeClr w14:val="tx1"/>
            </w14:solidFill>
          </w14:textFill>
        </w:rPr>
      </w:pPr>
      <w:bookmarkStart w:id="12" w:name="_Hlk46998426"/>
      <w:r>
        <w:rPr>
          <w:rFonts w:hint="eastAsia" w:ascii="Arial" w:hAnsi="Arial" w:cs="Arial"/>
          <w:b/>
          <w:bCs/>
          <w:color w:val="000000" w:themeColor="text1"/>
          <w:shd w:val="clear" w:color="auto" w:fill="FFFFFF"/>
          <w14:textFill>
            <w14:solidFill>
              <w14:schemeClr w14:val="tx1"/>
            </w14:solidFill>
          </w14:textFill>
        </w:rPr>
        <w:t>——世界乳业科技创新高地。</w:t>
      </w:r>
      <w:r>
        <w:rPr>
          <w:rFonts w:hint="eastAsia" w:ascii="Arial" w:hAnsi="Arial" w:cs="Arial"/>
          <w:color w:val="000000" w:themeColor="text1"/>
          <w:shd w:val="clear" w:color="auto" w:fill="FFFFFF"/>
          <w14:textFill>
            <w14:solidFill>
              <w14:schemeClr w14:val="tx1"/>
            </w14:solidFill>
          </w14:textFill>
        </w:rPr>
        <w:t>充分发挥省内高校、科研院所、创新型企业研发平台功能，积极引进国内外优势乳业科研机构，打造国际领先的现代乳业创新中心、全国乳业大数据中心、全国乳业交易服务中心，加快构建产学研推一体化合作机制，加强乳业种养加全链条科技攻关和转化应用，</w:t>
      </w:r>
      <w:r>
        <w:rPr>
          <w:rFonts w:hint="eastAsia" w:cs="Times New Roman"/>
          <w:color w:val="000000" w:themeColor="text1"/>
          <w:szCs w:val="32"/>
          <w14:textFill>
            <w14:solidFill>
              <w14:schemeClr w14:val="tx1"/>
            </w14:solidFill>
          </w14:textFill>
        </w:rPr>
        <w:t>培育孵化一批具有国际竞争力的科技型现代乳业企业集群，打造优质饲草、奶牛冻精和胚胎、良种奶牛输出基地，</w:t>
      </w:r>
      <w:r>
        <w:rPr>
          <w:rFonts w:hint="eastAsia" w:ascii="Arial" w:hAnsi="Arial" w:cs="Arial"/>
          <w:color w:val="000000" w:themeColor="text1"/>
          <w:shd w:val="clear" w:color="auto" w:fill="FFFFFF"/>
          <w14:textFill>
            <w14:solidFill>
              <w14:schemeClr w14:val="tx1"/>
            </w14:solidFill>
          </w14:textFill>
        </w:rPr>
        <w:t>加快提升奶业种养加全链条数字化、信息化、智能化水平，加强人才引进和培养，带动全国乃至全球奶业科技创新发展。</w:t>
      </w:r>
    </w:p>
    <w:p>
      <w:pPr>
        <w:ind w:firstLine="562"/>
        <w:rPr>
          <w:rFonts w:ascii="Arial" w:hAnsi="Arial" w:cs="Arial"/>
          <w:b/>
          <w:bCs/>
          <w:color w:val="000000" w:themeColor="text1"/>
          <w:shd w:val="clear" w:color="auto" w:fill="FFFFFF"/>
          <w14:textFill>
            <w14:solidFill>
              <w14:schemeClr w14:val="tx1"/>
            </w14:solidFill>
          </w14:textFill>
        </w:rPr>
      </w:pPr>
      <w:r>
        <w:rPr>
          <w:rFonts w:hint="eastAsia" w:ascii="Arial" w:hAnsi="Arial" w:cs="Arial"/>
          <w:b/>
          <w:bCs/>
          <w:color w:val="000000" w:themeColor="text1"/>
          <w:shd w:val="clear" w:color="auto" w:fill="FFFFFF"/>
          <w14:textFill>
            <w14:solidFill>
              <w14:schemeClr w14:val="tx1"/>
            </w14:solidFill>
          </w14:textFill>
        </w:rPr>
        <w:t>——乳业全产业链融合发展样板区。</w:t>
      </w:r>
      <w:r>
        <w:rPr>
          <w:rFonts w:hint="eastAsia" w:ascii="Arial" w:hAnsi="Arial" w:cs="Arial"/>
          <w:color w:val="000000" w:themeColor="text1"/>
          <w:shd w:val="clear" w:color="auto" w:fill="FFFFFF"/>
          <w14:textFill>
            <w14:solidFill>
              <w14:schemeClr w14:val="tx1"/>
            </w14:solidFill>
          </w14:textFill>
        </w:rPr>
        <w:t>做强现代乳品加工企业，支持大型乳品企业国际化发展，推动伊利现代智慧健康谷、蒙牛中国乳业产业园等重大项目建设，打造“千亿级”龙头企业，加快形成龙头企业总部经济规模效应，完善乳业生产上下游产业链条，打造现代乳业智能制造集群。推进中小乳制品企业差异化发展，鼓励民族乳品特色化发展，推动农旅融合发展，加强乳品交易、金融服务等支撑能力，推动乳业现代化要素集聚</w:t>
      </w:r>
      <w:r>
        <w:rPr>
          <w:rFonts w:hint="eastAsia"/>
          <w:color w:val="000000" w:themeColor="text1"/>
          <w14:textFill>
            <w14:solidFill>
              <w14:schemeClr w14:val="tx1"/>
            </w14:solidFill>
          </w14:textFill>
        </w:rPr>
        <w:t>。</w:t>
      </w:r>
      <w:r>
        <w:rPr>
          <w:rFonts w:hint="eastAsia" w:ascii="Arial" w:hAnsi="Arial" w:cs="Arial"/>
          <w:color w:val="000000" w:themeColor="text1"/>
          <w:shd w:val="clear" w:color="auto" w:fill="FFFFFF"/>
          <w14:textFill>
            <w14:solidFill>
              <w14:schemeClr w14:val="tx1"/>
            </w14:solidFill>
          </w14:textFill>
        </w:rPr>
        <w:t>以呼包鄂乌协同发展为契机，构建完善利益联结机制，加强区域奶业融合发展，提升奶源供应保障水平，构建种养加主体利益联结机制，实现多元发展、合作共赢的格局。</w:t>
      </w:r>
    </w:p>
    <w:p>
      <w:pPr>
        <w:ind w:firstLine="562"/>
        <w:rPr>
          <w:rFonts w:ascii="Arial" w:hAnsi="Arial" w:cs="Arial"/>
          <w:color w:val="000000" w:themeColor="text1"/>
          <w:shd w:val="clear" w:color="auto" w:fill="FFFFFF"/>
          <w14:textFill>
            <w14:solidFill>
              <w14:schemeClr w14:val="tx1"/>
            </w14:solidFill>
          </w14:textFill>
        </w:rPr>
      </w:pPr>
      <w:r>
        <w:rPr>
          <w:rFonts w:hint="eastAsia" w:ascii="Arial" w:hAnsi="Arial" w:cs="Arial"/>
          <w:b/>
          <w:bCs/>
          <w:color w:val="000000" w:themeColor="text1"/>
          <w:shd w:val="clear" w:color="auto" w:fill="FFFFFF"/>
          <w14:textFill>
            <w14:solidFill>
              <w14:schemeClr w14:val="tx1"/>
            </w14:solidFill>
          </w14:textFill>
        </w:rPr>
        <w:t>——现代乳业绿色发展先行区。</w:t>
      </w:r>
      <w:r>
        <w:rPr>
          <w:rFonts w:hint="eastAsia" w:ascii="Arial" w:hAnsi="Arial" w:cs="Arial"/>
          <w:color w:val="000000" w:themeColor="text1"/>
          <w:shd w:val="clear" w:color="auto" w:fill="FFFFFF"/>
          <w14:textFill>
            <w14:solidFill>
              <w14:schemeClr w14:val="tx1"/>
            </w14:solidFill>
          </w14:textFill>
        </w:rPr>
        <w:t>坚持生态优先、绿色发展导向，统筹考虑水土资源承载能力，优化产业布局，深入推进现代乳业品种培优、品质提升、品牌打造和标准化生产，提升绿色化、优质化、特色化和品牌化水平，加快推进种养一体化发展，构建种养结合循环发展格局，推进绿色投入品使用，加强奶牛疫病防控和健康管理，探索打造绿色低碳牧场，健全乳业全链条质量安全追溯和监管体系，引领带动全国乳业绿色发展。</w:t>
      </w:r>
    </w:p>
    <w:p>
      <w:pPr>
        <w:ind w:firstLine="562"/>
        <w:rPr>
          <w:rFonts w:cs="Times New Roman"/>
          <w:color w:val="000000" w:themeColor="text1"/>
          <w14:textFill>
            <w14:solidFill>
              <w14:schemeClr w14:val="tx1"/>
            </w14:solidFill>
          </w14:textFill>
        </w:rPr>
      </w:pPr>
      <w:r>
        <w:rPr>
          <w:rFonts w:hint="eastAsia" w:ascii="Arial" w:hAnsi="Arial" w:cs="Arial"/>
          <w:b/>
          <w:bCs/>
          <w:color w:val="000000" w:themeColor="text1"/>
          <w:shd w:val="clear" w:color="auto" w:fill="FFFFFF"/>
          <w14:textFill>
            <w14:solidFill>
              <w14:schemeClr w14:val="tx1"/>
            </w14:solidFill>
          </w14:textFill>
        </w:rPr>
        <w:t>——民族乳业品牌文化中心。</w:t>
      </w:r>
      <w:r>
        <w:rPr>
          <w:rFonts w:hint="eastAsia"/>
          <w:color w:val="000000" w:themeColor="text1"/>
          <w14:textFill>
            <w14:solidFill>
              <w14:schemeClr w14:val="tx1"/>
            </w14:solidFill>
          </w14:textFill>
        </w:rPr>
        <w:t>深入挖掘呼和浩特奶业特色和传统文化，</w:t>
      </w:r>
      <w:r>
        <w:rPr>
          <w:rFonts w:hint="eastAsia" w:cs="Times New Roman"/>
          <w:color w:val="000000" w:themeColor="text1"/>
          <w14:textFill>
            <w14:solidFill>
              <w14:schemeClr w14:val="tx1"/>
            </w14:solidFill>
          </w14:textFill>
        </w:rPr>
        <w:t>强化“中国乳都”文化内涵和产品设计，</w:t>
      </w:r>
      <w:r>
        <w:rPr>
          <w:rFonts w:hint="eastAsia"/>
          <w:color w:val="000000" w:themeColor="text1"/>
          <w14:textFill>
            <w14:solidFill>
              <w14:schemeClr w14:val="tx1"/>
            </w14:solidFill>
          </w14:textFill>
        </w:rPr>
        <w:t>打造一批区域公共品牌、企业品牌、产品品牌。</w:t>
      </w:r>
      <w:r>
        <w:rPr>
          <w:rFonts w:hint="eastAsia" w:cs="Times New Roman"/>
          <w:color w:val="000000" w:themeColor="text1"/>
          <w14:textFill>
            <w14:solidFill>
              <w14:schemeClr w14:val="tx1"/>
            </w14:solidFill>
          </w14:textFill>
        </w:rPr>
        <w:t>强化中国乳都系列品牌的形象塑造，</w:t>
      </w:r>
      <w:r>
        <w:rPr>
          <w:rFonts w:hint="eastAsia"/>
          <w:color w:val="000000" w:themeColor="text1"/>
          <w14:textFill>
            <w14:solidFill>
              <w14:schemeClr w14:val="tx1"/>
            </w14:solidFill>
          </w14:textFill>
        </w:rPr>
        <w:t>将现代乳业品牌建设与绿色消费、休闲旅游紧密结合，</w:t>
      </w:r>
      <w:r>
        <w:rPr>
          <w:rFonts w:hint="eastAsia" w:cs="Times New Roman"/>
          <w:color w:val="000000" w:themeColor="text1"/>
          <w14:textFill>
            <w14:solidFill>
              <w14:schemeClr w14:val="tx1"/>
            </w14:solidFill>
          </w14:textFill>
        </w:rPr>
        <w:t>加大品牌宣传力度，创新品牌宣传方式，不断树立品牌形象，叫响“中国乳都”区域品牌</w:t>
      </w:r>
      <w:r>
        <w:rPr>
          <w:rFonts w:hint="eastAsia"/>
          <w:color w:val="000000" w:themeColor="text1"/>
          <w14:textFill>
            <w14:solidFill>
              <w14:schemeClr w14:val="tx1"/>
            </w14:solidFill>
          </w14:textFill>
        </w:rPr>
        <w:t>，示范引领全国乳业品牌建设</w:t>
      </w:r>
      <w:r>
        <w:rPr>
          <w:rFonts w:hint="eastAsia" w:cs="Times New Roman"/>
          <w:color w:val="000000" w:themeColor="text1"/>
          <w14:textFill>
            <w14:solidFill>
              <w14:schemeClr w14:val="tx1"/>
            </w14:solidFill>
          </w14:textFill>
        </w:rPr>
        <w:t>。</w:t>
      </w:r>
    </w:p>
    <w:bookmarkEnd w:id="12"/>
    <w:p>
      <w:pPr>
        <w:pStyle w:val="3"/>
        <w:ind w:firstLine="643"/>
        <w:rPr>
          <w:color w:val="000000" w:themeColor="text1"/>
          <w14:textFill>
            <w14:solidFill>
              <w14:schemeClr w14:val="tx1"/>
            </w14:solidFill>
          </w14:textFill>
        </w:rPr>
      </w:pPr>
      <w:bookmarkStart w:id="13" w:name="_Toc80215040"/>
      <w:r>
        <w:rPr>
          <w:rFonts w:hint="eastAsia"/>
          <w:color w:val="000000" w:themeColor="text1"/>
          <w14:textFill>
            <w14:solidFill>
              <w14:schemeClr w14:val="tx1"/>
            </w14:solidFill>
          </w14:textFill>
        </w:rPr>
        <w:t>发展思路</w:t>
      </w:r>
      <w:bookmarkEnd w:id="13"/>
    </w:p>
    <w:p>
      <w:pPr>
        <w:ind w:firstLine="56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全面贯彻党的十九大和十九届二中、三中、四中、五中全会精神，以习近平新时代中国特色社会主义思想为指导，坚持创新、协调、绿色、开放、共享新发展理念，</w:t>
      </w:r>
      <w:r>
        <w:rPr>
          <w:rFonts w:hint="eastAsia"/>
          <w:bCs/>
          <w:color w:val="000000" w:themeColor="text1"/>
          <w14:textFill>
            <w14:solidFill>
              <w14:schemeClr w14:val="tx1"/>
            </w14:solidFill>
          </w14:textFill>
        </w:rPr>
        <w:t>按照</w:t>
      </w:r>
      <w:r>
        <w:rPr>
          <w:color w:val="000000" w:themeColor="text1"/>
          <w14:textFill>
            <w14:solidFill>
              <w14:schemeClr w14:val="tx1"/>
            </w14:solidFill>
          </w14:textFill>
        </w:rPr>
        <w:t>“一</w:t>
      </w:r>
      <w:r>
        <w:rPr>
          <w:rFonts w:hint="eastAsia"/>
          <w:color w:val="000000" w:themeColor="text1"/>
          <w14:textFill>
            <w14:solidFill>
              <w14:schemeClr w14:val="tx1"/>
            </w14:solidFill>
          </w14:textFill>
        </w:rPr>
        <w:t>条主线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三大重点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四化协同、四项支撑</w:t>
      </w:r>
      <w:r>
        <w:rPr>
          <w:color w:val="000000" w:themeColor="text1"/>
          <w14:textFill>
            <w14:solidFill>
              <w14:schemeClr w14:val="tx1"/>
            </w14:solidFill>
          </w14:textFill>
        </w:rPr>
        <w:t>”的“1344”发展思路，即：</w:t>
      </w:r>
      <w:r>
        <w:rPr>
          <w:rFonts w:hint="eastAsia"/>
          <w:color w:val="000000" w:themeColor="text1"/>
          <w:shd w:val="clear" w:color="auto" w:fill="FFFFFF"/>
          <w14:textFill>
            <w14:solidFill>
              <w14:schemeClr w14:val="tx1"/>
            </w14:solidFill>
          </w14:textFill>
        </w:rPr>
        <w:t>按照高质量发展的要求，以农业供给侧结构性改革为主线，以优质安全、绿色发展为目标，以优质奶源基地建设、产业集群建设、创新能力提升为重点，加快完善现代乳业产业体系、生产体系、经营体系，协同推进标准化、优质化、品牌化、国际化发展，强化科技、人才、政策、品牌支撑能力，健全乳产业利益联结机制，不断提高全市奶业发展质量效益、市场竞争力和全球影响力，打造“中国乳都”升级版，为做大做强民族奶业，推动农业现代化提供有力支撑。</w:t>
      </w:r>
    </w:p>
    <w:p>
      <w:pPr>
        <w:pStyle w:val="3"/>
        <w:ind w:firstLine="643"/>
        <w:rPr>
          <w:color w:val="000000" w:themeColor="text1"/>
          <w14:textFill>
            <w14:solidFill>
              <w14:schemeClr w14:val="tx1"/>
            </w14:solidFill>
          </w14:textFill>
        </w:rPr>
      </w:pPr>
      <w:bookmarkStart w:id="14" w:name="_Toc80215041"/>
      <w:r>
        <w:rPr>
          <w:rFonts w:hint="eastAsia"/>
          <w:color w:val="000000" w:themeColor="text1"/>
          <w14:textFill>
            <w14:solidFill>
              <w14:schemeClr w14:val="tx1"/>
            </w14:solidFill>
          </w14:textFill>
        </w:rPr>
        <w:t>基本原则</w:t>
      </w:r>
      <w:bookmarkEnd w:id="14"/>
    </w:p>
    <w:p>
      <w:pPr>
        <w:ind w:firstLine="56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——生态优先，绿色发展。</w:t>
      </w:r>
      <w:r>
        <w:rPr>
          <w:rFonts w:hint="eastAsia"/>
          <w:color w:val="000000" w:themeColor="text1"/>
          <w14:textFill>
            <w14:solidFill>
              <w14:schemeClr w14:val="tx1"/>
            </w14:solidFill>
          </w14:textFill>
        </w:rPr>
        <w:t>因地制宜，合理布局，种养结合，草畜配套，促进</w:t>
      </w:r>
      <w:r>
        <w:rPr>
          <w:rFonts w:hint="eastAsia"/>
          <w:color w:val="000000" w:themeColor="text1"/>
          <w:lang w:eastAsia="zh-CN"/>
          <w14:textFill>
            <w14:solidFill>
              <w14:schemeClr w14:val="tx1"/>
            </w14:solidFill>
          </w14:textFill>
        </w:rPr>
        <w:t>黄河流域生态文明，推进</w:t>
      </w:r>
      <w:r>
        <w:rPr>
          <w:rFonts w:hint="eastAsia"/>
          <w:color w:val="000000" w:themeColor="text1"/>
          <w14:textFill>
            <w14:solidFill>
              <w14:schemeClr w14:val="tx1"/>
            </w14:solidFill>
          </w14:textFill>
        </w:rPr>
        <w:t>养殖废弃物资源化利用，推动奶业生产与生态协同发展，探索以生态优先、低碳循环</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绿色发展为导向的高质量发展新路子。</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——龙头带动，集群发展。</w:t>
      </w:r>
      <w:r>
        <w:rPr>
          <w:rFonts w:hint="eastAsia"/>
          <w:color w:val="000000" w:themeColor="text1"/>
          <w14:textFill>
            <w14:solidFill>
              <w14:schemeClr w14:val="tx1"/>
            </w14:solidFill>
          </w14:textFill>
        </w:rPr>
        <w:t>坚持产业一体化发展方向，着力打造“千亿级”龙头企业，充分发挥伊利、蒙牛等乳业龙头企业在集群形成发展过程中的带动和聚合作用，提升总部经济带动效应，</w:t>
      </w:r>
      <w:r>
        <w:rPr>
          <w:rFonts w:hint="eastAsia" w:ascii="Arial" w:hAnsi="Arial" w:cs="Arial"/>
          <w:color w:val="000000" w:themeColor="text1"/>
          <w:shd w:val="clear" w:color="auto" w:fill="FFFFFF"/>
          <w14:textFill>
            <w14:solidFill>
              <w14:schemeClr w14:val="tx1"/>
            </w14:solidFill>
          </w14:textFill>
        </w:rPr>
        <w:t>完善乳业上下游产业链条，推动乳业现代化要素集聚</w:t>
      </w:r>
      <w:r>
        <w:rPr>
          <w:rFonts w:hint="eastAsia"/>
          <w:color w:val="000000" w:themeColor="text1"/>
          <w14:textFill>
            <w14:solidFill>
              <w14:schemeClr w14:val="tx1"/>
            </w14:solidFill>
          </w14:textFill>
        </w:rPr>
        <w:t>，提升价值链，提高奶业供给体系的质量和效率，实现一二三产业协调发展。</w:t>
      </w:r>
    </w:p>
    <w:p>
      <w:pPr>
        <w:ind w:firstLine="56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——科技支撑，创新驱动。</w:t>
      </w:r>
      <w:r>
        <w:rPr>
          <w:rFonts w:hint="eastAsia"/>
          <w:color w:val="000000" w:themeColor="text1"/>
          <w14:textFill>
            <w14:solidFill>
              <w14:schemeClr w14:val="tx1"/>
            </w14:solidFill>
          </w14:textFill>
        </w:rPr>
        <w:t>强化奶业科技创新，推动管理制度改革，以关键环节和重点难点为突破口，优化产品结构，推进节本增效，着力提高奶业供给体系的质量和效率，提高奶业综合生产能力和乳品质量安全水平。</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——利益连接，共享共赢。</w:t>
      </w:r>
      <w:r>
        <w:rPr>
          <w:rFonts w:hint="eastAsia"/>
          <w:color w:val="000000" w:themeColor="text1"/>
          <w14:textFill>
            <w14:solidFill>
              <w14:schemeClr w14:val="tx1"/>
            </w14:solidFill>
          </w14:textFill>
        </w:rPr>
        <w:t>强化企业的市场主体作用，优化资源配置，增强发展活力，更好地发挥政府政策引导、支持保护、监督管理作用，维护公平有序的市场环境。建立农户和乳品企业之间稳定的利益联结机制，推进形成风险共担、利益共享的产业格局，增强奶农抵御市场风险的能力。</w:t>
      </w:r>
    </w:p>
    <w:p>
      <w:pPr>
        <w:pStyle w:val="3"/>
        <w:ind w:firstLine="643"/>
        <w:rPr>
          <w:color w:val="000000" w:themeColor="text1"/>
          <w14:textFill>
            <w14:solidFill>
              <w14:schemeClr w14:val="tx1"/>
            </w14:solidFill>
          </w14:textFill>
        </w:rPr>
      </w:pPr>
      <w:bookmarkStart w:id="15" w:name="_Toc80215042"/>
      <w:r>
        <w:rPr>
          <w:rFonts w:hint="eastAsia"/>
          <w:color w:val="000000" w:themeColor="text1"/>
          <w14:textFill>
            <w14:solidFill>
              <w14:schemeClr w14:val="tx1"/>
            </w14:solidFill>
          </w14:textFill>
        </w:rPr>
        <w:t>发展目标</w:t>
      </w:r>
      <w:bookmarkEnd w:id="15"/>
    </w:p>
    <w:p>
      <w:pPr>
        <w:ind w:firstLine="560"/>
        <w:rPr>
          <w:color w:val="000000" w:themeColor="text1"/>
          <w14:textFill>
            <w14:solidFill>
              <w14:schemeClr w14:val="tx1"/>
            </w14:solidFill>
          </w14:textFill>
        </w:rPr>
      </w:pPr>
      <w:r>
        <w:rPr>
          <w:color w:val="000000" w:themeColor="text1"/>
          <w14:textFill>
            <w14:solidFill>
              <w14:schemeClr w14:val="tx1"/>
            </w14:solidFill>
          </w14:textFill>
        </w:rPr>
        <w:t>力争到2025年，</w:t>
      </w:r>
      <w:r>
        <w:rPr>
          <w:rFonts w:hint="eastAsia"/>
          <w:color w:val="000000" w:themeColor="text1"/>
          <w14:textFill>
            <w14:solidFill>
              <w14:schemeClr w14:val="tx1"/>
            </w14:solidFill>
          </w14:textFill>
        </w:rPr>
        <w:t>奶源基地规模和质量不断提升，乳业加工产业集群全面形成，一二三产融合发展水平稳步提升，农业绿色发展水平明显提高升级版“中国乳都”建设取得显著成效。</w:t>
      </w:r>
    </w:p>
    <w:p>
      <w:pPr>
        <w:ind w:firstLine="562"/>
        <w:rPr>
          <w:rFonts w:hint="eastAsia" w:eastAsia="宋体"/>
          <w:color w:val="000000" w:themeColor="text1"/>
          <w:highlight w:val="yellow"/>
          <w:lang w:eastAsia="zh-CN"/>
          <w14:textFill>
            <w14:solidFill>
              <w14:schemeClr w14:val="tx1"/>
            </w14:solidFill>
          </w14:textFill>
        </w:rPr>
      </w:pPr>
      <w:r>
        <w:rPr>
          <w:rFonts w:hint="eastAsia"/>
          <w:b/>
          <w:bCs/>
          <w:color w:val="000000" w:themeColor="text1"/>
          <w14:textFill>
            <w14:solidFill>
              <w14:schemeClr w14:val="tx1"/>
            </w14:solidFill>
          </w14:textFill>
        </w:rPr>
        <w:t>——优质饲草供应能力大幅提升。</w:t>
      </w:r>
      <w:r>
        <w:rPr>
          <w:rFonts w:hint="eastAsia"/>
          <w:color w:val="000000" w:themeColor="text1"/>
          <w14:textFill>
            <w14:solidFill>
              <w14:schemeClr w14:val="tx1"/>
            </w14:solidFill>
          </w14:textFill>
        </w:rPr>
        <w:t>全市青贮玉米、苜蓿草、燕麦草等优质牧草种植达到</w:t>
      </w:r>
      <w:r>
        <w:rPr>
          <w:color w:val="000000" w:themeColor="text1"/>
          <w14:textFill>
            <w14:solidFill>
              <w14:schemeClr w14:val="tx1"/>
            </w14:solidFill>
          </w14:textFill>
        </w:rPr>
        <w:t>180</w:t>
      </w:r>
      <w:r>
        <w:rPr>
          <w:rFonts w:hint="eastAsia"/>
          <w:color w:val="000000" w:themeColor="text1"/>
          <w14:textFill>
            <w14:solidFill>
              <w14:schemeClr w14:val="tx1"/>
            </w14:solidFill>
          </w14:textFill>
        </w:rPr>
        <w:t>万亩以上，其中青贮玉米自给率保持</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，优质苜蓿、燕麦草自给率提高到30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以上</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建成国家级牧草种质资源库</w:t>
      </w:r>
      <w:r>
        <w:rPr>
          <w:rFonts w:hint="eastAsia"/>
          <w:color w:val="000000" w:themeColor="text1"/>
          <w:lang w:eastAsia="zh-CN"/>
          <w14:textFill>
            <w14:solidFill>
              <w14:schemeClr w14:val="tx1"/>
            </w14:solidFill>
          </w14:textFill>
        </w:rPr>
        <w:t>及现代饲草科技产业园，形成育繁推一体化的现代饲草种业集群式发展。</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——奶源基地供应能力大幅增强。</w:t>
      </w:r>
      <w:r>
        <w:rPr>
          <w:rFonts w:hint="eastAsia"/>
          <w:color w:val="000000" w:themeColor="text1"/>
          <w14:textFill>
            <w14:solidFill>
              <w14:schemeClr w14:val="tx1"/>
            </w14:solidFill>
          </w14:textFill>
        </w:rPr>
        <w:t>全市</w:t>
      </w:r>
      <w:r>
        <w:rPr>
          <w:color w:val="000000" w:themeColor="text1"/>
          <w14:textFill>
            <w14:solidFill>
              <w14:schemeClr w14:val="tx1"/>
            </w14:solidFill>
          </w14:textFill>
        </w:rPr>
        <w:t>奶牛存栏</w:t>
      </w:r>
      <w:r>
        <w:rPr>
          <w:rFonts w:hint="eastAsia"/>
          <w:color w:val="000000" w:themeColor="text1"/>
          <w14:textFill>
            <w14:solidFill>
              <w14:schemeClr w14:val="tx1"/>
            </w14:solidFill>
          </w14:textFill>
        </w:rPr>
        <w:t>控制在</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万头</w:t>
      </w:r>
      <w:r>
        <w:rPr>
          <w:color w:val="000000" w:themeColor="text1"/>
          <w14:textFill>
            <w14:solidFill>
              <w14:schemeClr w14:val="tx1"/>
            </w14:solidFill>
          </w14:textFill>
        </w:rPr>
        <w:t>，100头以上规模养殖比</w:t>
      </w:r>
      <w:r>
        <w:rPr>
          <w:rFonts w:hint="eastAsia"/>
          <w:color w:val="000000" w:themeColor="text1"/>
          <w14:textFill>
            <w14:solidFill>
              <w14:schemeClr w14:val="tx1"/>
            </w14:solidFill>
          </w14:textFill>
        </w:rPr>
        <w:t>例</w:t>
      </w:r>
      <w:r>
        <w:rPr>
          <w:color w:val="000000" w:themeColor="text1"/>
          <w14:textFill>
            <w14:solidFill>
              <w14:schemeClr w14:val="tx1"/>
            </w14:solidFill>
          </w14:textFill>
        </w:rPr>
        <w:t>达到99%以上，</w:t>
      </w:r>
      <w:r>
        <w:rPr>
          <w:rFonts w:hint="eastAsia"/>
          <w:color w:val="000000" w:themeColor="text1"/>
          <w14:textFill>
            <w14:solidFill>
              <w14:schemeClr w14:val="tx1"/>
            </w14:solidFill>
          </w14:textFill>
        </w:rPr>
        <w:t>奶牛良种覆盖率达到1</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%，奶羊存栏达到30万只，</w:t>
      </w:r>
      <w:r>
        <w:rPr>
          <w:color w:val="000000" w:themeColor="text1"/>
          <w14:textFill>
            <w14:solidFill>
              <w14:schemeClr w14:val="tx1"/>
            </w14:solidFill>
          </w14:textFill>
        </w:rPr>
        <w:t>生鲜乳总产量达到320万吨以上</w:t>
      </w:r>
      <w:r>
        <w:rPr>
          <w:rFonts w:hint="eastAsia"/>
          <w:color w:val="000000" w:themeColor="text1"/>
          <w14:textFill>
            <w14:solidFill>
              <w14:schemeClr w14:val="tx1"/>
            </w14:solidFill>
          </w14:textFill>
        </w:rPr>
        <w:t>。</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——加工产业集群规模不断壮大。</w:t>
      </w:r>
      <w:r>
        <w:rPr>
          <w:rFonts w:hint="eastAsia"/>
          <w:color w:val="000000" w:themeColor="text1"/>
          <w14:textFill>
            <w14:solidFill>
              <w14:schemeClr w14:val="tx1"/>
            </w14:solidFill>
          </w14:textFill>
        </w:rPr>
        <w:t>打造千亿级乳业企业2家，力争推动伊利和蒙牛世界排名进入世界前五，上下游产业链条不断完善，打造民族乳产业品牌</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个以上，乳业品牌国际影响力和市场竞争力明显提升。</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——奶业科技支撑能力大幅提升。</w:t>
      </w:r>
      <w:r>
        <w:rPr>
          <w:rFonts w:hint="eastAsia"/>
          <w:color w:val="000000" w:themeColor="text1"/>
          <w14:textFill>
            <w14:solidFill>
              <w14:schemeClr w14:val="tx1"/>
            </w14:solidFill>
          </w14:textFill>
        </w:rPr>
        <w:t>国家乳业科技创新平台、交易平台、服务平台基本建成，奶牛平均单产达到9吨以上，鲜奶乳脂率达到</w:t>
      </w:r>
      <w:r>
        <w:rPr>
          <w:color w:val="000000" w:themeColor="text1"/>
          <w14:textFill>
            <w14:solidFill>
              <w14:schemeClr w14:val="tx1"/>
            </w14:solidFill>
          </w14:textFill>
        </w:rPr>
        <w:t>4.0</w:t>
      </w:r>
      <w:r>
        <w:rPr>
          <w:rFonts w:hint="eastAsia"/>
          <w:color w:val="000000" w:themeColor="text1"/>
          <w14:textFill>
            <w14:solidFill>
              <w14:schemeClr w14:val="tx1"/>
            </w14:solidFill>
          </w14:textFill>
        </w:rPr>
        <w:t>%以上，乳蛋白率达到3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%以上；培育“适应北方冬季寒冷气候条件的高产新品种奶山羊。为实现品质提升、良种繁育、提质增效的发展目标夯实基础。</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——农业绿色发展水平明显提升。</w:t>
      </w:r>
      <w:r>
        <w:rPr>
          <w:color w:val="000000" w:themeColor="text1"/>
          <w14:textFill>
            <w14:solidFill>
              <w14:schemeClr w14:val="tx1"/>
            </w14:solidFill>
          </w14:textFill>
        </w:rPr>
        <w:t>产品监督抽检合格率达到100%以上</w:t>
      </w:r>
      <w:r>
        <w:rPr>
          <w:rFonts w:hint="eastAsia"/>
          <w:color w:val="000000" w:themeColor="text1"/>
          <w14:textFill>
            <w14:solidFill>
              <w14:schemeClr w14:val="tx1"/>
            </w14:solidFill>
          </w14:textFill>
        </w:rPr>
        <w:t>，奶牛</w:t>
      </w:r>
      <w:r>
        <w:rPr>
          <w:color w:val="000000" w:themeColor="text1"/>
          <w14:textFill>
            <w14:solidFill>
              <w14:schemeClr w14:val="tx1"/>
            </w14:solidFill>
          </w14:textFill>
        </w:rPr>
        <w:t>粪污</w:t>
      </w:r>
      <w:r>
        <w:rPr>
          <w:rFonts w:hint="eastAsia"/>
          <w:color w:val="000000" w:themeColor="text1"/>
          <w14:textFill>
            <w14:solidFill>
              <w14:schemeClr w14:val="tx1"/>
            </w14:solidFill>
          </w14:textFill>
        </w:rPr>
        <w:t>资源化</w:t>
      </w:r>
      <w:r>
        <w:rPr>
          <w:color w:val="000000" w:themeColor="text1"/>
          <w14:textFill>
            <w14:solidFill>
              <w14:schemeClr w14:val="tx1"/>
            </w14:solidFill>
          </w14:textFill>
        </w:rPr>
        <w:t>利用率稳定在</w:t>
      </w:r>
      <w:r>
        <w:rPr>
          <w:rFonts w:hint="eastAsia"/>
          <w:color w:val="000000" w:themeColor="text1"/>
          <w14:textFill>
            <w14:solidFill>
              <w14:schemeClr w14:val="tx1"/>
            </w14:solidFill>
          </w14:textFill>
        </w:rPr>
        <w:t>90%以上</w:t>
      </w:r>
      <w:r>
        <w:rPr>
          <w:color w:val="000000" w:themeColor="text1"/>
          <w14:textFill>
            <w14:solidFill>
              <w14:schemeClr w14:val="tx1"/>
            </w14:solidFill>
          </w14:textFill>
        </w:rPr>
        <w:t>，奶源基地、乳品质量和产业竞争力达到全国领先水平</w:t>
      </w:r>
      <w:r>
        <w:rPr>
          <w:rFonts w:hint="eastAsia"/>
          <w:color w:val="000000" w:themeColor="text1"/>
          <w:lang w:eastAsia="zh-CN"/>
          <w14:textFill>
            <w14:solidFill>
              <w14:schemeClr w14:val="tx1"/>
            </w14:solidFill>
          </w14:textFill>
        </w:rPr>
        <w:t>，构建黄河流域生态环境保护与农牧业高质量发展新格局</w:t>
      </w:r>
      <w:r>
        <w:rPr>
          <w:color w:val="000000" w:themeColor="text1"/>
          <w14:textFill>
            <w14:solidFill>
              <w14:schemeClr w14:val="tx1"/>
            </w14:solidFill>
          </w14:textFill>
        </w:rPr>
        <w:t>。</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——带动农民增收。</w:t>
      </w:r>
      <w:r>
        <w:rPr>
          <w:rFonts w:hint="eastAsia"/>
          <w:color w:val="000000" w:themeColor="text1"/>
          <w14:textFill>
            <w14:solidFill>
              <w14:schemeClr w14:val="tx1"/>
            </w14:solidFill>
          </w14:textFill>
        </w:rPr>
        <w:t>利益联结机制不断完善，奶农人均可支配收入提高到</w:t>
      </w:r>
      <w:r>
        <w:rPr>
          <w:color w:val="000000" w:themeColor="text1"/>
          <w14:textFill>
            <w14:solidFill>
              <w14:schemeClr w14:val="tx1"/>
            </w14:solidFill>
          </w14:textFill>
        </w:rPr>
        <w:t>24000</w:t>
      </w:r>
      <w:r>
        <w:rPr>
          <w:rFonts w:hint="eastAsia"/>
          <w:color w:val="000000" w:themeColor="text1"/>
          <w14:textFill>
            <w14:solidFill>
              <w14:schemeClr w14:val="tx1"/>
            </w14:solidFill>
          </w14:textFill>
        </w:rPr>
        <w:t>元以上。</w:t>
      </w:r>
    </w:p>
    <w:p>
      <w:pPr>
        <w:ind w:firstLine="560"/>
        <w:rPr>
          <w:color w:val="000000" w:themeColor="text1"/>
          <w:shd w:val="clear" w:color="auto" w:fill="FFFFFF"/>
          <w14:textFill>
            <w14:solidFill>
              <w14:schemeClr w14:val="tx1"/>
            </w14:solidFill>
          </w14:textFill>
        </w:rPr>
      </w:pPr>
    </w:p>
    <w:p>
      <w:pPr>
        <w:widowControl/>
        <w:spacing w:before="340" w:after="330" w:line="578" w:lineRule="auto"/>
        <w:ind w:left="420" w:firstLine="560"/>
        <w:jc w:val="center"/>
        <w:rPr>
          <w:rFonts w:cs="Times New Roman"/>
          <w:b/>
          <w:bCs/>
          <w:color w:val="000000" w:themeColor="text1"/>
          <w:sz w:val="36"/>
          <w:szCs w:val="32"/>
          <w14:textFill>
            <w14:solidFill>
              <w14:schemeClr w14:val="tx1"/>
            </w14:solidFill>
          </w14:textFill>
        </w:rPr>
      </w:pPr>
      <w:r>
        <w:rPr>
          <w:color w:val="000000" w:themeColor="text1"/>
          <w14:textFill>
            <w14:solidFill>
              <w14:schemeClr w14:val="tx1"/>
            </w14:solidFill>
          </w14:textFill>
        </w:rPr>
        <w:br w:type="page"/>
      </w:r>
    </w:p>
    <w:p>
      <w:pPr>
        <w:pStyle w:val="2"/>
        <w:rPr>
          <w:color w:val="000000" w:themeColor="text1"/>
          <w14:textFill>
            <w14:solidFill>
              <w14:schemeClr w14:val="tx1"/>
            </w14:solidFill>
          </w14:textFill>
        </w:rPr>
      </w:pPr>
      <w:bookmarkStart w:id="16" w:name="_Toc80215043"/>
      <w:r>
        <w:rPr>
          <w:color w:val="000000" w:themeColor="text1"/>
          <w14:textFill>
            <w14:solidFill>
              <w14:schemeClr w14:val="tx1"/>
            </w14:solidFill>
          </w14:textFill>
        </w:rPr>
        <w:t>统筹优化区域布局</w:t>
      </w:r>
      <w:bookmarkEnd w:id="16"/>
    </w:p>
    <w:p>
      <w:pPr>
        <w:pStyle w:val="3"/>
        <w:ind w:firstLine="643"/>
        <w:rPr>
          <w:rStyle w:val="70"/>
          <w:i w:val="0"/>
          <w:iCs w:val="0"/>
          <w:color w:val="000000" w:themeColor="text1"/>
          <w14:textFill>
            <w14:solidFill>
              <w14:schemeClr w14:val="tx1"/>
            </w14:solidFill>
          </w14:textFill>
        </w:rPr>
      </w:pPr>
      <w:bookmarkStart w:id="17" w:name="_Toc80215044"/>
      <w:r>
        <w:rPr>
          <w:rStyle w:val="70"/>
          <w:rFonts w:hint="eastAsia"/>
          <w:i w:val="0"/>
          <w:iCs w:val="0"/>
          <w:color w:val="000000" w:themeColor="text1"/>
          <w14:textFill>
            <w14:solidFill>
              <w14:schemeClr w14:val="tx1"/>
            </w14:solidFill>
          </w14:textFill>
        </w:rPr>
        <w:t>资源环境承载力分析</w:t>
      </w:r>
      <w:bookmarkEnd w:id="17"/>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粪污土地承载力</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根据农业农村部印发的《畜禽粪污土地承载力测算技术指南》，基于氮磷平衡计算方法，对呼和浩特市</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个旗县区、开发区进行畜禽土地承载力分析，分析结果表明，全市畜禽粪污可利用氮养分量为</w:t>
      </w:r>
      <w:r>
        <w:rPr>
          <w:color w:val="000000" w:themeColor="text1"/>
          <w14:textFill>
            <w14:solidFill>
              <w14:schemeClr w14:val="tx1"/>
            </w14:solidFill>
          </w14:textFill>
        </w:rPr>
        <w:t>6854.6</w:t>
      </w:r>
      <w:r>
        <w:rPr>
          <w:rFonts w:hint="eastAsia"/>
          <w:color w:val="000000" w:themeColor="text1"/>
          <w14:textFill>
            <w14:solidFill>
              <w14:schemeClr w14:val="tx1"/>
            </w14:solidFill>
          </w14:textFill>
        </w:rPr>
        <w:t>吨、可利用磷养分量为</w:t>
      </w:r>
      <w:r>
        <w:rPr>
          <w:color w:val="000000" w:themeColor="text1"/>
          <w14:textFill>
            <w14:solidFill>
              <w14:schemeClr w14:val="tx1"/>
            </w14:solidFill>
          </w14:textFill>
        </w:rPr>
        <w:t>2437.9</w:t>
      </w:r>
      <w:r>
        <w:rPr>
          <w:rFonts w:hint="eastAsia"/>
          <w:color w:val="000000" w:themeColor="text1"/>
          <w14:textFill>
            <w14:solidFill>
              <w14:schemeClr w14:val="tx1"/>
            </w14:solidFill>
          </w14:textFill>
        </w:rPr>
        <w:t>吨，作物总需氮养分量为</w:t>
      </w:r>
      <w:r>
        <w:rPr>
          <w:color w:val="000000" w:themeColor="text1"/>
          <w14:textFill>
            <w14:solidFill>
              <w14:schemeClr w14:val="tx1"/>
            </w14:solidFill>
          </w14:textFill>
        </w:rPr>
        <w:t>62224.9</w:t>
      </w:r>
      <w:r>
        <w:rPr>
          <w:rFonts w:hint="eastAsia"/>
          <w:color w:val="000000" w:themeColor="text1"/>
          <w14:textFill>
            <w14:solidFill>
              <w14:schemeClr w14:val="tx1"/>
            </w14:solidFill>
          </w14:textFill>
        </w:rPr>
        <w:t>吨、总需磷养分量为</w:t>
      </w:r>
      <w:r>
        <w:rPr>
          <w:color w:val="000000" w:themeColor="text1"/>
          <w14:textFill>
            <w14:solidFill>
              <w14:schemeClr w14:val="tx1"/>
            </w14:solidFill>
          </w14:textFill>
        </w:rPr>
        <w:t>9732.9</w:t>
      </w:r>
      <w:r>
        <w:rPr>
          <w:rFonts w:hint="eastAsia"/>
          <w:color w:val="000000" w:themeColor="text1"/>
          <w14:textFill>
            <w14:solidFill>
              <w14:schemeClr w14:val="tx1"/>
            </w14:solidFill>
          </w14:textFill>
        </w:rPr>
        <w:t>吨。按照作物养分由畜禽粪便和化肥供应各占</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计算，全市尚有</w:t>
      </w:r>
      <w:r>
        <w:rPr>
          <w:color w:val="000000" w:themeColor="text1"/>
          <w14:textFill>
            <w14:solidFill>
              <w14:schemeClr w14:val="tx1"/>
            </w14:solidFill>
          </w14:textFill>
        </w:rPr>
        <w:t>80.1</w:t>
      </w:r>
      <w:r>
        <w:rPr>
          <w:rFonts w:hint="eastAsia"/>
          <w:color w:val="000000" w:themeColor="text1"/>
          <w14:textFill>
            <w14:solidFill>
              <w14:schemeClr w14:val="tx1"/>
            </w14:solidFill>
          </w14:textFill>
        </w:rPr>
        <w:t>万头奶牛当量的盈余空间，</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个旗县区、开发区畜禽粪污土地承载力均处于未超载状态（见表</w:t>
      </w:r>
      <w:r>
        <w:rPr>
          <w:color w:val="000000" w:themeColor="text1"/>
          <w14:textFill>
            <w14:solidFill>
              <w14:schemeClr w14:val="tx1"/>
            </w14:solidFill>
          </w14:textFill>
        </w:rPr>
        <w:t>3-1</w:t>
      </w:r>
      <w:r>
        <w:rPr>
          <w:rFonts w:hint="eastAsia"/>
          <w:color w:val="000000" w:themeColor="text1"/>
          <w14:textFill>
            <w14:solidFill>
              <w14:schemeClr w14:val="tx1"/>
            </w14:solidFill>
          </w14:textFill>
        </w:rPr>
        <w:t>）。土左旗、托县、和林县和清水河县奶牛养殖承载能力仍有盈余5</w:t>
      </w:r>
      <w:r>
        <w:rPr>
          <w:color w:val="000000" w:themeColor="text1"/>
          <w14:textFill>
            <w14:solidFill>
              <w14:schemeClr w14:val="tx1"/>
            </w14:solidFill>
          </w14:textFill>
        </w:rPr>
        <w:t>7.5</w:t>
      </w:r>
      <w:r>
        <w:rPr>
          <w:rFonts w:hint="eastAsia"/>
          <w:color w:val="000000" w:themeColor="text1"/>
          <w14:textFill>
            <w14:solidFill>
              <w14:schemeClr w14:val="tx1"/>
            </w14:solidFill>
          </w14:textFill>
        </w:rPr>
        <w:t>万头。</w:t>
      </w:r>
    </w:p>
    <w:p>
      <w:pPr>
        <w:ind w:firstLine="0" w:firstLineChars="0"/>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表</w:t>
      </w:r>
      <w:r>
        <w:rPr>
          <w:b/>
          <w:bCs/>
          <w:color w:val="000000" w:themeColor="text1"/>
          <w:sz w:val="24"/>
          <w:szCs w:val="24"/>
          <w14:textFill>
            <w14:solidFill>
              <w14:schemeClr w14:val="tx1"/>
            </w14:solidFill>
          </w14:textFill>
        </w:rPr>
        <w:t xml:space="preserve">3-1 </w:t>
      </w:r>
      <w:r>
        <w:rPr>
          <w:rFonts w:hint="eastAsia"/>
          <w:b/>
          <w:bCs/>
          <w:color w:val="000000" w:themeColor="text1"/>
          <w:sz w:val="24"/>
          <w:szCs w:val="24"/>
          <w14:textFill>
            <w14:solidFill>
              <w14:schemeClr w14:val="tx1"/>
            </w14:solidFill>
          </w14:textFill>
        </w:rPr>
        <w:t>呼和浩特市畜禽粪污土地承载力测算表</w:t>
      </w:r>
    </w:p>
    <w:tbl>
      <w:tblPr>
        <w:tblStyle w:val="34"/>
        <w:tblW w:w="8302" w:type="dxa"/>
        <w:tblInd w:w="0" w:type="dxa"/>
        <w:tblLayout w:type="fixed"/>
        <w:tblCellMar>
          <w:top w:w="0" w:type="dxa"/>
          <w:left w:w="0" w:type="dxa"/>
          <w:bottom w:w="0" w:type="dxa"/>
          <w:right w:w="0" w:type="dxa"/>
        </w:tblCellMar>
      </w:tblPr>
      <w:tblGrid>
        <w:gridCol w:w="1096"/>
        <w:gridCol w:w="993"/>
        <w:gridCol w:w="880"/>
        <w:gridCol w:w="931"/>
        <w:gridCol w:w="880"/>
        <w:gridCol w:w="880"/>
        <w:gridCol w:w="880"/>
        <w:gridCol w:w="882"/>
        <w:gridCol w:w="880"/>
      </w:tblGrid>
      <w:tr>
        <w:tblPrEx>
          <w:tblCellMar>
            <w:top w:w="0" w:type="dxa"/>
            <w:left w:w="0" w:type="dxa"/>
            <w:bottom w:w="0" w:type="dxa"/>
            <w:right w:w="0" w:type="dxa"/>
          </w:tblCellMar>
        </w:tblPrEx>
        <w:trPr>
          <w:trHeight w:val="855" w:hRule="atLeast"/>
        </w:trPr>
        <w:tc>
          <w:tcPr>
            <w:tcW w:w="109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ind w:firstLine="0" w:firstLineChars="0"/>
              <w:jc w:val="center"/>
              <w:rPr>
                <w:rFonts w:cs="Times New Roman"/>
                <w:b/>
                <w:bCs/>
                <w:color w:val="000000" w:themeColor="text1"/>
                <w:kern w:val="0"/>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区县旗</w:t>
            </w:r>
          </w:p>
        </w:tc>
        <w:tc>
          <w:tcPr>
            <w:tcW w:w="993" w:type="dxa"/>
            <w:tcBorders>
              <w:top w:val="single" w:color="auto" w:sz="4" w:space="0"/>
              <w:left w:val="nil"/>
              <w:bottom w:val="nil"/>
              <w:right w:val="single" w:color="auto" w:sz="4" w:space="0"/>
            </w:tcBorders>
            <w:vAlign w:val="center"/>
          </w:tcPr>
          <w:p>
            <w:pPr>
              <w:widowControl/>
              <w:adjustRightInd w:val="0"/>
              <w:snapToGrid w:val="0"/>
              <w:ind w:firstLine="0" w:firstLineChars="0"/>
              <w:jc w:val="center"/>
              <w:rPr>
                <w:rFonts w:cs="Times New Roman"/>
                <w:b/>
                <w:bCs/>
                <w:color w:val="000000" w:themeColor="text1"/>
                <w:kern w:val="0"/>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作物氮素需求量（吨）</w:t>
            </w:r>
          </w:p>
        </w:tc>
        <w:tc>
          <w:tcPr>
            <w:tcW w:w="880" w:type="dxa"/>
            <w:tcBorders>
              <w:top w:val="single" w:color="auto" w:sz="4" w:space="0"/>
              <w:left w:val="nil"/>
              <w:bottom w:val="nil"/>
              <w:right w:val="single" w:color="auto" w:sz="4" w:space="0"/>
            </w:tcBorders>
            <w:vAlign w:val="center"/>
          </w:tcPr>
          <w:p>
            <w:pPr>
              <w:widowControl/>
              <w:adjustRightInd w:val="0"/>
              <w:snapToGrid w:val="0"/>
              <w:ind w:firstLine="0" w:firstLineChars="0"/>
              <w:jc w:val="center"/>
              <w:rPr>
                <w:rFonts w:cs="Times New Roman"/>
                <w:b/>
                <w:bCs/>
                <w:color w:val="000000" w:themeColor="text1"/>
                <w:kern w:val="0"/>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作物磷素需求量（吨）</w:t>
            </w:r>
          </w:p>
        </w:tc>
        <w:tc>
          <w:tcPr>
            <w:tcW w:w="931" w:type="dxa"/>
            <w:tcBorders>
              <w:top w:val="single" w:color="auto" w:sz="4" w:space="0"/>
              <w:left w:val="nil"/>
              <w:bottom w:val="nil"/>
              <w:right w:val="single" w:color="auto" w:sz="4" w:space="0"/>
            </w:tcBorders>
            <w:vAlign w:val="center"/>
          </w:tcPr>
          <w:p>
            <w:pPr>
              <w:widowControl/>
              <w:adjustRightInd w:val="0"/>
              <w:snapToGrid w:val="0"/>
              <w:ind w:firstLine="0" w:firstLineChars="0"/>
              <w:jc w:val="center"/>
              <w:rPr>
                <w:rFonts w:cs="Times New Roman"/>
                <w:b/>
                <w:bCs/>
                <w:color w:val="000000" w:themeColor="text1"/>
                <w:kern w:val="0"/>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粪肥氮素需求量（吨）</w:t>
            </w:r>
          </w:p>
        </w:tc>
        <w:tc>
          <w:tcPr>
            <w:tcW w:w="880" w:type="dxa"/>
            <w:tcBorders>
              <w:top w:val="single" w:color="auto" w:sz="4" w:space="0"/>
              <w:left w:val="nil"/>
              <w:bottom w:val="nil"/>
              <w:right w:val="single" w:color="auto" w:sz="4" w:space="0"/>
            </w:tcBorders>
            <w:vAlign w:val="center"/>
          </w:tcPr>
          <w:p>
            <w:pPr>
              <w:widowControl/>
              <w:adjustRightInd w:val="0"/>
              <w:snapToGrid w:val="0"/>
              <w:ind w:firstLine="0" w:firstLineChars="0"/>
              <w:jc w:val="center"/>
              <w:rPr>
                <w:rFonts w:cs="Times New Roman"/>
                <w:b/>
                <w:bCs/>
                <w:color w:val="000000" w:themeColor="text1"/>
                <w:kern w:val="0"/>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粪肥磷素需求量（吨）</w:t>
            </w:r>
          </w:p>
        </w:tc>
        <w:tc>
          <w:tcPr>
            <w:tcW w:w="880" w:type="dxa"/>
            <w:tcBorders>
              <w:top w:val="single" w:color="auto" w:sz="4" w:space="0"/>
              <w:left w:val="nil"/>
              <w:bottom w:val="nil"/>
              <w:right w:val="single" w:color="auto" w:sz="4" w:space="0"/>
            </w:tcBorders>
            <w:vAlign w:val="center"/>
          </w:tcPr>
          <w:p>
            <w:pPr>
              <w:widowControl/>
              <w:adjustRightInd w:val="0"/>
              <w:snapToGrid w:val="0"/>
              <w:ind w:firstLine="0" w:firstLineChars="0"/>
              <w:jc w:val="center"/>
              <w:rPr>
                <w:rFonts w:cs="Times New Roman"/>
                <w:b/>
                <w:bCs/>
                <w:color w:val="000000" w:themeColor="text1"/>
                <w:kern w:val="0"/>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粪肥氮素供给量（吨）</w:t>
            </w:r>
          </w:p>
        </w:tc>
        <w:tc>
          <w:tcPr>
            <w:tcW w:w="880" w:type="dxa"/>
            <w:tcBorders>
              <w:top w:val="single" w:color="auto" w:sz="4" w:space="0"/>
              <w:left w:val="nil"/>
              <w:bottom w:val="nil"/>
              <w:right w:val="single" w:color="auto" w:sz="4" w:space="0"/>
            </w:tcBorders>
            <w:vAlign w:val="center"/>
          </w:tcPr>
          <w:p>
            <w:pPr>
              <w:widowControl/>
              <w:adjustRightInd w:val="0"/>
              <w:snapToGrid w:val="0"/>
              <w:ind w:firstLine="0" w:firstLineChars="0"/>
              <w:jc w:val="center"/>
              <w:rPr>
                <w:rFonts w:cs="Times New Roman"/>
                <w:b/>
                <w:bCs/>
                <w:color w:val="000000" w:themeColor="text1"/>
                <w:kern w:val="0"/>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粪肥磷素供给量（吨）</w:t>
            </w:r>
          </w:p>
        </w:tc>
        <w:tc>
          <w:tcPr>
            <w:tcW w:w="882"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氮素奶牛当量盈余（万头）</w:t>
            </w:r>
          </w:p>
        </w:tc>
        <w:tc>
          <w:tcPr>
            <w:tcW w:w="880"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磷素奶牛当量盈余（万头）</w:t>
            </w:r>
          </w:p>
        </w:tc>
      </w:tr>
      <w:tr>
        <w:tblPrEx>
          <w:tblCellMar>
            <w:top w:w="0" w:type="dxa"/>
            <w:left w:w="0" w:type="dxa"/>
            <w:bottom w:w="0" w:type="dxa"/>
            <w:right w:w="0" w:type="dxa"/>
          </w:tblCellMar>
        </w:tblPrEx>
        <w:trPr>
          <w:trHeight w:val="285" w:hRule="atLeas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rPr>
                <w:rFonts w:cs="Times New Roman"/>
                <w:bCs/>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新城区</w:t>
            </w:r>
          </w:p>
        </w:tc>
        <w:tc>
          <w:tcPr>
            <w:tcW w:w="993" w:type="dxa"/>
            <w:tcBorders>
              <w:top w:val="single" w:color="auto" w:sz="4" w:space="0"/>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62.6</w:t>
            </w:r>
          </w:p>
        </w:tc>
        <w:tc>
          <w:tcPr>
            <w:tcW w:w="880" w:type="dxa"/>
            <w:tcBorders>
              <w:top w:val="single" w:color="auto" w:sz="4" w:space="0"/>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15.4</w:t>
            </w:r>
          </w:p>
        </w:tc>
        <w:tc>
          <w:tcPr>
            <w:tcW w:w="931" w:type="dxa"/>
            <w:tcBorders>
              <w:top w:val="single" w:color="auto" w:sz="4" w:space="0"/>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68.9</w:t>
            </w:r>
          </w:p>
        </w:tc>
        <w:tc>
          <w:tcPr>
            <w:tcW w:w="880" w:type="dxa"/>
            <w:tcBorders>
              <w:top w:val="single" w:color="auto" w:sz="4" w:space="0"/>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14.1</w:t>
            </w:r>
          </w:p>
        </w:tc>
        <w:tc>
          <w:tcPr>
            <w:tcW w:w="880" w:type="dxa"/>
            <w:tcBorders>
              <w:top w:val="single" w:color="auto" w:sz="4" w:space="0"/>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46.1</w:t>
            </w:r>
          </w:p>
        </w:tc>
        <w:tc>
          <w:tcPr>
            <w:tcW w:w="880" w:type="dxa"/>
            <w:tcBorders>
              <w:top w:val="single" w:color="auto" w:sz="4" w:space="0"/>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8.2</w:t>
            </w:r>
          </w:p>
        </w:tc>
        <w:tc>
          <w:tcPr>
            <w:tcW w:w="882"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0.05</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0.07</w:t>
            </w:r>
          </w:p>
        </w:tc>
      </w:tr>
      <w:tr>
        <w:tblPrEx>
          <w:tblCellMar>
            <w:top w:w="0" w:type="dxa"/>
            <w:left w:w="0" w:type="dxa"/>
            <w:bottom w:w="0" w:type="dxa"/>
            <w:right w:w="0" w:type="dxa"/>
          </w:tblCellMar>
        </w:tblPrEx>
        <w:trPr>
          <w:trHeight w:val="285" w:hRule="atLeas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rPr>
                <w:rFonts w:cs="Times New Roman"/>
                <w:bCs/>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回民区</w:t>
            </w:r>
          </w:p>
        </w:tc>
        <w:tc>
          <w:tcPr>
            <w:tcW w:w="993"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15.6</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3.7</w:t>
            </w:r>
          </w:p>
        </w:tc>
        <w:tc>
          <w:tcPr>
            <w:tcW w:w="931"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17.1</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3.4</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2.0</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0.8</w:t>
            </w:r>
          </w:p>
        </w:tc>
        <w:tc>
          <w:tcPr>
            <w:tcW w:w="882"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0.03</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0.03</w:t>
            </w:r>
          </w:p>
        </w:tc>
      </w:tr>
      <w:tr>
        <w:tblPrEx>
          <w:tblCellMar>
            <w:top w:w="0" w:type="dxa"/>
            <w:left w:w="0" w:type="dxa"/>
            <w:bottom w:w="0" w:type="dxa"/>
            <w:right w:w="0" w:type="dxa"/>
          </w:tblCellMar>
        </w:tblPrEx>
        <w:trPr>
          <w:trHeight w:val="285" w:hRule="atLeas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rPr>
                <w:rFonts w:cs="Times New Roman"/>
                <w:bCs/>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玉泉区</w:t>
            </w:r>
          </w:p>
        </w:tc>
        <w:tc>
          <w:tcPr>
            <w:tcW w:w="993"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943.2</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147.4</w:t>
            </w:r>
          </w:p>
        </w:tc>
        <w:tc>
          <w:tcPr>
            <w:tcW w:w="931"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1037.5</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135.1</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103.8</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37.1</w:t>
            </w:r>
          </w:p>
        </w:tc>
        <w:tc>
          <w:tcPr>
            <w:tcW w:w="882"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w:t>
            </w:r>
          </w:p>
        </w:tc>
      </w:tr>
      <w:tr>
        <w:tblPrEx>
          <w:tblCellMar>
            <w:top w:w="0" w:type="dxa"/>
            <w:left w:w="0" w:type="dxa"/>
            <w:bottom w:w="0" w:type="dxa"/>
            <w:right w:w="0" w:type="dxa"/>
          </w:tblCellMar>
        </w:tblPrEx>
        <w:trPr>
          <w:trHeight w:val="285" w:hRule="atLeas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rPr>
                <w:rFonts w:cs="Times New Roman"/>
                <w:bCs/>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赛罕区</w:t>
            </w:r>
          </w:p>
        </w:tc>
        <w:tc>
          <w:tcPr>
            <w:tcW w:w="993"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4190.4</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675.6</w:t>
            </w:r>
          </w:p>
        </w:tc>
        <w:tc>
          <w:tcPr>
            <w:tcW w:w="931"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4609.5</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619.3</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355.8</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130.3</w:t>
            </w:r>
          </w:p>
        </w:tc>
        <w:tc>
          <w:tcPr>
            <w:tcW w:w="882"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9.1</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6.1</w:t>
            </w:r>
          </w:p>
        </w:tc>
      </w:tr>
      <w:tr>
        <w:tblPrEx>
          <w:tblCellMar>
            <w:top w:w="0" w:type="dxa"/>
            <w:left w:w="0" w:type="dxa"/>
            <w:bottom w:w="0" w:type="dxa"/>
            <w:right w:w="0" w:type="dxa"/>
          </w:tblCellMar>
        </w:tblPrEx>
        <w:trPr>
          <w:trHeight w:val="285" w:hRule="atLeas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rPr>
                <w:rFonts w:cs="Times New Roman"/>
                <w:bCs/>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土左旗</w:t>
            </w:r>
          </w:p>
        </w:tc>
        <w:tc>
          <w:tcPr>
            <w:tcW w:w="993"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18152.2</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3387.0</w:t>
            </w:r>
          </w:p>
        </w:tc>
        <w:tc>
          <w:tcPr>
            <w:tcW w:w="931"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19967.5</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3104.7</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2620.7</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1039.8</w:t>
            </w:r>
          </w:p>
        </w:tc>
        <w:tc>
          <w:tcPr>
            <w:tcW w:w="882"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37.2</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25.8</w:t>
            </w:r>
          </w:p>
        </w:tc>
      </w:tr>
      <w:tr>
        <w:tblPrEx>
          <w:tblCellMar>
            <w:top w:w="0" w:type="dxa"/>
            <w:left w:w="0" w:type="dxa"/>
            <w:bottom w:w="0" w:type="dxa"/>
            <w:right w:w="0" w:type="dxa"/>
          </w:tblCellMar>
        </w:tblPrEx>
        <w:trPr>
          <w:trHeight w:val="285" w:hRule="atLeas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rPr>
                <w:rFonts w:cs="Times New Roman"/>
                <w:bCs/>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托县</w:t>
            </w:r>
          </w:p>
        </w:tc>
        <w:tc>
          <w:tcPr>
            <w:tcW w:w="993"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13891.6</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1975.0</w:t>
            </w:r>
          </w:p>
        </w:tc>
        <w:tc>
          <w:tcPr>
            <w:tcW w:w="931"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15280.8</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1810.4</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906.6</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359.5</w:t>
            </w:r>
          </w:p>
        </w:tc>
        <w:tc>
          <w:tcPr>
            <w:tcW w:w="882"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30.8</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18.1</w:t>
            </w:r>
          </w:p>
        </w:tc>
      </w:tr>
      <w:tr>
        <w:tblPrEx>
          <w:tblCellMar>
            <w:top w:w="0" w:type="dxa"/>
            <w:left w:w="0" w:type="dxa"/>
            <w:bottom w:w="0" w:type="dxa"/>
            <w:right w:w="0" w:type="dxa"/>
          </w:tblCellMar>
        </w:tblPrEx>
        <w:trPr>
          <w:trHeight w:val="285" w:hRule="atLeas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rPr>
                <w:rFonts w:cs="Times New Roman"/>
                <w:bCs/>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和林县</w:t>
            </w:r>
          </w:p>
        </w:tc>
        <w:tc>
          <w:tcPr>
            <w:tcW w:w="993"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10476.1</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1647.3</w:t>
            </w:r>
          </w:p>
        </w:tc>
        <w:tc>
          <w:tcPr>
            <w:tcW w:w="931"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11523.7</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1510.0</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2231.8</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677.2</w:t>
            </w:r>
          </w:p>
        </w:tc>
        <w:tc>
          <w:tcPr>
            <w:tcW w:w="882"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19.9</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10.4</w:t>
            </w:r>
          </w:p>
        </w:tc>
      </w:tr>
      <w:tr>
        <w:tblPrEx>
          <w:tblCellMar>
            <w:top w:w="0" w:type="dxa"/>
            <w:left w:w="0" w:type="dxa"/>
            <w:bottom w:w="0" w:type="dxa"/>
            <w:right w:w="0" w:type="dxa"/>
          </w:tblCellMar>
        </w:tblPrEx>
        <w:trPr>
          <w:trHeight w:val="285" w:hRule="atLeas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rPr>
                <w:rFonts w:cs="Times New Roman"/>
                <w:bCs/>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清水河县</w:t>
            </w:r>
          </w:p>
        </w:tc>
        <w:tc>
          <w:tcPr>
            <w:tcW w:w="993"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2881.0</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413.6</w:t>
            </w:r>
          </w:p>
        </w:tc>
        <w:tc>
          <w:tcPr>
            <w:tcW w:w="931"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3169.1</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379.1</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350.5</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121.5</w:t>
            </w:r>
          </w:p>
        </w:tc>
        <w:tc>
          <w:tcPr>
            <w:tcW w:w="882"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6.0</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3.2</w:t>
            </w:r>
          </w:p>
        </w:tc>
      </w:tr>
      <w:tr>
        <w:tblPrEx>
          <w:tblCellMar>
            <w:top w:w="0" w:type="dxa"/>
            <w:left w:w="0" w:type="dxa"/>
            <w:bottom w:w="0" w:type="dxa"/>
            <w:right w:w="0" w:type="dxa"/>
          </w:tblCellMar>
        </w:tblPrEx>
        <w:trPr>
          <w:trHeight w:val="285" w:hRule="atLeas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rPr>
                <w:rFonts w:cs="Times New Roman"/>
                <w:bCs/>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武川县</w:t>
            </w:r>
          </w:p>
        </w:tc>
        <w:tc>
          <w:tcPr>
            <w:tcW w:w="993"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11612.1</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1468.0</w:t>
            </w:r>
          </w:p>
        </w:tc>
        <w:tc>
          <w:tcPr>
            <w:tcW w:w="931"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12773.3</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1345.7</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237.3</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63.5</w:t>
            </w:r>
          </w:p>
        </w:tc>
        <w:tc>
          <w:tcPr>
            <w:tcW w:w="882"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26.9</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16.0</w:t>
            </w:r>
          </w:p>
        </w:tc>
      </w:tr>
      <w:tr>
        <w:tblPrEx>
          <w:tblCellMar>
            <w:top w:w="0" w:type="dxa"/>
            <w:left w:w="0" w:type="dxa"/>
            <w:bottom w:w="0" w:type="dxa"/>
            <w:right w:w="0" w:type="dxa"/>
          </w:tblCellMar>
        </w:tblPrEx>
        <w:trPr>
          <w:trHeight w:val="285" w:hRule="atLeast"/>
        </w:trPr>
        <w:tc>
          <w:tcPr>
            <w:tcW w:w="1096" w:type="dxa"/>
            <w:tcBorders>
              <w:top w:val="nil"/>
              <w:left w:val="single" w:color="auto" w:sz="4" w:space="0"/>
              <w:bottom w:val="single" w:color="auto" w:sz="4" w:space="0"/>
              <w:right w:val="single" w:color="auto" w:sz="4" w:space="0"/>
            </w:tcBorders>
            <w:noWrap/>
            <w:vAlign w:val="center"/>
          </w:tcPr>
          <w:p>
            <w:pPr>
              <w:widowControl/>
              <w:adjustRightInd w:val="0"/>
              <w:snapToGrid w:val="0"/>
              <w:ind w:firstLine="0" w:firstLineChars="0"/>
              <w:jc w:val="center"/>
              <w:rPr>
                <w:rFonts w:cs="Times New Roman"/>
                <w:b/>
                <w:color w:val="000000" w:themeColor="text1"/>
                <w:kern w:val="0"/>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合计</w:t>
            </w:r>
          </w:p>
        </w:tc>
        <w:tc>
          <w:tcPr>
            <w:tcW w:w="993"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b/>
                <w:color w:val="000000" w:themeColor="text1"/>
                <w:kern w:val="0"/>
                <w:sz w:val="24"/>
                <w:szCs w:val="24"/>
                <w14:textFill>
                  <w14:solidFill>
                    <w14:schemeClr w14:val="tx1"/>
                  </w14:solidFill>
                </w14:textFill>
              </w:rPr>
            </w:pPr>
            <w:r>
              <w:rPr>
                <w:b/>
                <w:color w:val="000000" w:themeColor="text1"/>
                <w:sz w:val="24"/>
                <w:szCs w:val="24"/>
                <w14:textFill>
                  <w14:solidFill>
                    <w14:schemeClr w14:val="tx1"/>
                  </w14:solidFill>
                </w14:textFill>
              </w:rPr>
              <w:t>62224.9</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b/>
                <w:color w:val="000000" w:themeColor="text1"/>
                <w:kern w:val="0"/>
                <w:sz w:val="24"/>
                <w:szCs w:val="24"/>
                <w14:textFill>
                  <w14:solidFill>
                    <w14:schemeClr w14:val="tx1"/>
                  </w14:solidFill>
                </w14:textFill>
              </w:rPr>
            </w:pPr>
            <w:r>
              <w:rPr>
                <w:b/>
                <w:color w:val="000000" w:themeColor="text1"/>
                <w:sz w:val="24"/>
                <w:szCs w:val="24"/>
                <w14:textFill>
                  <w14:solidFill>
                    <w14:schemeClr w14:val="tx1"/>
                  </w14:solidFill>
                </w14:textFill>
              </w:rPr>
              <w:t>9732.9</w:t>
            </w:r>
          </w:p>
        </w:tc>
        <w:tc>
          <w:tcPr>
            <w:tcW w:w="931"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b/>
                <w:color w:val="000000" w:themeColor="text1"/>
                <w:kern w:val="0"/>
                <w:sz w:val="24"/>
                <w:szCs w:val="24"/>
                <w14:textFill>
                  <w14:solidFill>
                    <w14:schemeClr w14:val="tx1"/>
                  </w14:solidFill>
                </w14:textFill>
              </w:rPr>
            </w:pPr>
            <w:r>
              <w:rPr>
                <w:b/>
                <w:color w:val="000000" w:themeColor="text1"/>
                <w:sz w:val="24"/>
                <w:szCs w:val="24"/>
                <w14:textFill>
                  <w14:solidFill>
                    <w14:schemeClr w14:val="tx1"/>
                  </w14:solidFill>
                </w14:textFill>
              </w:rPr>
              <w:t>68447.3</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b/>
                <w:color w:val="000000" w:themeColor="text1"/>
                <w:kern w:val="0"/>
                <w:sz w:val="24"/>
                <w:szCs w:val="24"/>
                <w14:textFill>
                  <w14:solidFill>
                    <w14:schemeClr w14:val="tx1"/>
                  </w14:solidFill>
                </w14:textFill>
              </w:rPr>
            </w:pPr>
            <w:r>
              <w:rPr>
                <w:b/>
                <w:color w:val="000000" w:themeColor="text1"/>
                <w:sz w:val="24"/>
                <w:szCs w:val="24"/>
                <w14:textFill>
                  <w14:solidFill>
                    <w14:schemeClr w14:val="tx1"/>
                  </w14:solidFill>
                </w14:textFill>
              </w:rPr>
              <w:t>8921.8</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b/>
                <w:color w:val="000000" w:themeColor="text1"/>
                <w:kern w:val="0"/>
                <w:sz w:val="24"/>
                <w:szCs w:val="24"/>
                <w14:textFill>
                  <w14:solidFill>
                    <w14:schemeClr w14:val="tx1"/>
                  </w14:solidFill>
                </w14:textFill>
              </w:rPr>
            </w:pPr>
            <w:r>
              <w:rPr>
                <w:b/>
                <w:color w:val="000000" w:themeColor="text1"/>
                <w:sz w:val="24"/>
                <w:szCs w:val="24"/>
                <w14:textFill>
                  <w14:solidFill>
                    <w14:schemeClr w14:val="tx1"/>
                  </w14:solidFill>
                </w14:textFill>
              </w:rPr>
              <w:t>7344.3</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rFonts w:cs="Times New Roman"/>
                <w:b/>
                <w:color w:val="000000" w:themeColor="text1"/>
                <w:kern w:val="0"/>
                <w:sz w:val="24"/>
                <w:szCs w:val="24"/>
                <w14:textFill>
                  <w14:solidFill>
                    <w14:schemeClr w14:val="tx1"/>
                  </w14:solidFill>
                </w14:textFill>
              </w:rPr>
            </w:pPr>
            <w:r>
              <w:rPr>
                <w:b/>
                <w:color w:val="000000" w:themeColor="text1"/>
                <w:sz w:val="24"/>
                <w:szCs w:val="24"/>
                <w14:textFill>
                  <w14:solidFill>
                    <w14:schemeClr w14:val="tx1"/>
                  </w14:solidFill>
                </w14:textFill>
              </w:rPr>
              <w:t>2510.7</w:t>
            </w:r>
          </w:p>
        </w:tc>
        <w:tc>
          <w:tcPr>
            <w:tcW w:w="882"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130.9</w:t>
            </w:r>
          </w:p>
        </w:tc>
        <w:tc>
          <w:tcPr>
            <w:tcW w:w="880" w:type="dxa"/>
            <w:tcBorders>
              <w:top w:val="nil"/>
              <w:left w:val="nil"/>
              <w:bottom w:val="single" w:color="auto" w:sz="4" w:space="0"/>
              <w:right w:val="single" w:color="auto" w:sz="4" w:space="0"/>
            </w:tcBorders>
            <w:noWrap/>
            <w:vAlign w:val="center"/>
          </w:tcPr>
          <w:p>
            <w:pPr>
              <w:widowControl/>
              <w:adjustRightInd w:val="0"/>
              <w:snapToGrid w:val="0"/>
              <w:ind w:firstLine="0" w:firstLineChars="0"/>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80.1</w:t>
            </w:r>
          </w:p>
        </w:tc>
      </w:tr>
    </w:tbl>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水资源承载力</w:t>
      </w:r>
    </w:p>
    <w:p>
      <w:pPr>
        <w:ind w:firstLine="560"/>
        <w:rPr>
          <w:color w:val="000000" w:themeColor="text1"/>
          <w14:textFill>
            <w14:solidFill>
              <w14:schemeClr w14:val="tx1"/>
            </w14:solidFill>
          </w14:textFill>
        </w:rPr>
      </w:pPr>
      <w:r>
        <w:rPr>
          <w:color w:val="000000" w:themeColor="text1"/>
          <w14:textFill>
            <w14:solidFill>
              <w14:schemeClr w14:val="tx1"/>
            </w14:solidFill>
          </w14:textFill>
        </w:rPr>
        <w:t>2018</w:t>
      </w:r>
      <w:r>
        <w:rPr>
          <w:rFonts w:hint="eastAsia"/>
          <w:color w:val="000000" w:themeColor="text1"/>
          <w14:textFill>
            <w14:solidFill>
              <w14:schemeClr w14:val="tx1"/>
            </w14:solidFill>
          </w14:textFill>
        </w:rPr>
        <w:t>年，呼和浩特市全市水资源可利用量合计</w:t>
      </w:r>
      <w:r>
        <w:rPr>
          <w:color w:val="000000" w:themeColor="text1"/>
          <w14:textFill>
            <w14:solidFill>
              <w14:schemeClr w14:val="tx1"/>
            </w14:solidFill>
          </w14:textFill>
        </w:rPr>
        <w:t>12.87</w:t>
      </w:r>
      <w:r>
        <w:rPr>
          <w:rFonts w:hint="eastAsia"/>
          <w:color w:val="000000" w:themeColor="text1"/>
          <w14:textFill>
            <w14:solidFill>
              <w14:schemeClr w14:val="tx1"/>
            </w14:solidFill>
          </w14:textFill>
        </w:rPr>
        <w:t>亿立方米。其中当地自产可利用水量</w:t>
      </w:r>
      <w:r>
        <w:rPr>
          <w:color w:val="000000" w:themeColor="text1"/>
          <w14:textFill>
            <w14:solidFill>
              <w14:schemeClr w14:val="tx1"/>
            </w14:solidFill>
          </w14:textFill>
        </w:rPr>
        <w:t>7.65</w:t>
      </w:r>
      <w:r>
        <w:rPr>
          <w:rFonts w:hint="eastAsia"/>
          <w:color w:val="000000" w:themeColor="text1"/>
          <w14:textFill>
            <w14:solidFill>
              <w14:schemeClr w14:val="tx1"/>
            </w14:solidFill>
          </w14:textFill>
        </w:rPr>
        <w:t>亿立方米，黄河干流取水指标</w:t>
      </w:r>
      <w:r>
        <w:rPr>
          <w:color w:val="000000" w:themeColor="text1"/>
          <w14:textFill>
            <w14:solidFill>
              <w14:schemeClr w14:val="tx1"/>
            </w14:solidFill>
          </w14:textFill>
        </w:rPr>
        <w:t>3.83</w:t>
      </w:r>
      <w:r>
        <w:rPr>
          <w:rFonts w:hint="eastAsia"/>
          <w:color w:val="000000" w:themeColor="text1"/>
          <w14:textFill>
            <w14:solidFill>
              <w14:schemeClr w14:val="tx1"/>
            </w14:solidFill>
          </w14:textFill>
        </w:rPr>
        <w:t>亿立方米，再生水</w:t>
      </w:r>
      <w:r>
        <w:rPr>
          <w:color w:val="000000" w:themeColor="text1"/>
          <w14:textFill>
            <w14:solidFill>
              <w14:schemeClr w14:val="tx1"/>
            </w14:solidFill>
          </w14:textFill>
        </w:rPr>
        <w:t>1.39</w:t>
      </w:r>
      <w:r>
        <w:rPr>
          <w:rFonts w:hint="eastAsia"/>
          <w:color w:val="000000" w:themeColor="text1"/>
          <w14:textFill>
            <w14:solidFill>
              <w14:schemeClr w14:val="tx1"/>
            </w14:solidFill>
          </w14:textFill>
        </w:rPr>
        <w:t>亿立方米；根据</w:t>
      </w:r>
      <w:r>
        <w:rPr>
          <w:color w:val="000000" w:themeColor="text1"/>
          <w14:textFill>
            <w14:solidFill>
              <w14:schemeClr w14:val="tx1"/>
            </w14:solidFill>
          </w14:textFill>
        </w:rPr>
        <w:t>2018</w:t>
      </w:r>
      <w:r>
        <w:rPr>
          <w:rFonts w:hint="eastAsia"/>
          <w:color w:val="000000" w:themeColor="text1"/>
          <w14:textFill>
            <w14:solidFill>
              <w14:schemeClr w14:val="tx1"/>
            </w14:solidFill>
          </w14:textFill>
        </w:rPr>
        <w:t>年《呼和浩特市水资源公报》，全市</w:t>
      </w:r>
      <w:r>
        <w:rPr>
          <w:color w:val="000000" w:themeColor="text1"/>
          <w14:textFill>
            <w14:solidFill>
              <w14:schemeClr w14:val="tx1"/>
            </w14:solidFill>
          </w14:textFill>
        </w:rPr>
        <w:t>2018</w:t>
      </w:r>
      <w:r>
        <w:rPr>
          <w:rFonts w:hint="eastAsia"/>
          <w:color w:val="000000" w:themeColor="text1"/>
          <w14:textFill>
            <w14:solidFill>
              <w14:schemeClr w14:val="tx1"/>
            </w14:solidFill>
          </w14:textFill>
        </w:rPr>
        <w:t>年总供水量</w:t>
      </w:r>
      <w:r>
        <w:rPr>
          <w:color w:val="000000" w:themeColor="text1"/>
          <w14:textFill>
            <w14:solidFill>
              <w14:schemeClr w14:val="tx1"/>
            </w14:solidFill>
          </w14:textFill>
        </w:rPr>
        <w:t>10.22</w:t>
      </w:r>
      <w:r>
        <w:rPr>
          <w:rFonts w:hint="eastAsia"/>
          <w:color w:val="000000" w:themeColor="text1"/>
          <w14:textFill>
            <w14:solidFill>
              <w14:schemeClr w14:val="tx1"/>
            </w14:solidFill>
          </w14:textFill>
        </w:rPr>
        <w:t>亿立方米，其中畜牧养殖用水</w:t>
      </w:r>
      <w:r>
        <w:rPr>
          <w:color w:val="000000" w:themeColor="text1"/>
          <w14:textFill>
            <w14:solidFill>
              <w14:schemeClr w14:val="tx1"/>
            </w14:solidFill>
          </w14:textFill>
        </w:rPr>
        <w:t>0.2054</w:t>
      </w:r>
      <w:r>
        <w:rPr>
          <w:rFonts w:hint="eastAsia"/>
          <w:color w:val="000000" w:themeColor="text1"/>
          <w14:textFill>
            <w14:solidFill>
              <w14:schemeClr w14:val="tx1"/>
            </w14:solidFill>
          </w14:textFill>
        </w:rPr>
        <w:t>亿立方米，占全市用水总量的</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。结合呼和浩特市经济社会发展状况及内蒙古自治区水利厅“三条红线”控制指标，预计到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年，呼和浩特市用水总量红线为</w:t>
      </w:r>
      <w:r>
        <w:rPr>
          <w:color w:val="000000" w:themeColor="text1"/>
          <w14:textFill>
            <w14:solidFill>
              <w14:schemeClr w14:val="tx1"/>
            </w14:solidFill>
          </w14:textFill>
        </w:rPr>
        <w:t>11.68</w:t>
      </w:r>
      <w:r>
        <w:rPr>
          <w:rFonts w:hint="eastAsia"/>
          <w:color w:val="000000" w:themeColor="text1"/>
          <w14:textFill>
            <w14:solidFill>
              <w14:schemeClr w14:val="tx1"/>
            </w14:solidFill>
          </w14:textFill>
        </w:rPr>
        <w:t>亿立方米。但根据《呼和浩特市农牧业产业化“十四五”发展规划（讨论稿）》相关规划，到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年全市奶牛、肉牛、猪、羊等畜种常年存栏将分别达到</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万头、1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万头、</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万头、</w:t>
      </w:r>
      <w:r>
        <w:rPr>
          <w:color w:val="000000" w:themeColor="text1"/>
          <w14:textFill>
            <w14:solidFill>
              <w14:schemeClr w14:val="tx1"/>
            </w14:solidFill>
          </w14:textFill>
        </w:rPr>
        <w:t>300</w:t>
      </w:r>
      <w:r>
        <w:rPr>
          <w:rFonts w:hint="eastAsia"/>
          <w:color w:val="000000" w:themeColor="text1"/>
          <w14:textFill>
            <w14:solidFill>
              <w14:schemeClr w14:val="tx1"/>
            </w14:solidFill>
          </w14:textFill>
        </w:rPr>
        <w:t>万只，畜牧养殖用水总量将达到</w:t>
      </w:r>
      <w:r>
        <w:rPr>
          <w:color w:val="000000" w:themeColor="text1"/>
          <w14:textFill>
            <w14:solidFill>
              <w14:schemeClr w14:val="tx1"/>
            </w14:solidFill>
          </w14:textFill>
        </w:rPr>
        <w:t>0.3137</w:t>
      </w:r>
      <w:r>
        <w:rPr>
          <w:rFonts w:hint="eastAsia"/>
          <w:color w:val="000000" w:themeColor="text1"/>
          <w14:textFill>
            <w14:solidFill>
              <w14:schemeClr w14:val="tx1"/>
            </w14:solidFill>
          </w14:textFill>
        </w:rPr>
        <w:t>亿立方米，占全市用水总量的</w:t>
      </w:r>
      <w:r>
        <w:rPr>
          <w:color w:val="000000" w:themeColor="text1"/>
          <w14:textFill>
            <w14:solidFill>
              <w14:schemeClr w14:val="tx1"/>
            </w14:solidFill>
          </w14:textFill>
        </w:rPr>
        <w:t>2.7%</w:t>
      </w:r>
      <w:r>
        <w:rPr>
          <w:rFonts w:hint="eastAsia"/>
          <w:color w:val="000000" w:themeColor="text1"/>
          <w14:textFill>
            <w14:solidFill>
              <w14:schemeClr w14:val="tx1"/>
            </w14:solidFill>
          </w14:textFill>
        </w:rPr>
        <w:t>。因此，建议调增畜牧产业用水额度，同时采取节水生产措施。</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土地资源</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据摸底分析，目前呼和浩特市可用于养殖业用建场用土地</w:t>
      </w:r>
      <w:r>
        <w:rPr>
          <w:color w:val="000000" w:themeColor="text1"/>
          <w14:textFill>
            <w14:solidFill>
              <w14:schemeClr w14:val="tx1"/>
            </w14:solidFill>
          </w14:textFill>
        </w:rPr>
        <w:t>157</w:t>
      </w:r>
      <w:r>
        <w:rPr>
          <w:rFonts w:hint="eastAsia"/>
          <w:color w:val="000000" w:themeColor="text1"/>
          <w14:textFill>
            <w14:solidFill>
              <w14:schemeClr w14:val="tx1"/>
            </w14:solidFill>
          </w14:textFill>
        </w:rPr>
        <w:t>块，总面积</w:t>
      </w:r>
      <w:r>
        <w:rPr>
          <w:color w:val="000000" w:themeColor="text1"/>
          <w14:textFill>
            <w14:solidFill>
              <w14:schemeClr w14:val="tx1"/>
            </w14:solidFill>
          </w14:textFill>
        </w:rPr>
        <w:t>13.39</w:t>
      </w:r>
      <w:r>
        <w:rPr>
          <w:rFonts w:hint="eastAsia"/>
          <w:color w:val="000000" w:themeColor="text1"/>
          <w14:textFill>
            <w14:solidFill>
              <w14:schemeClr w14:val="tx1"/>
            </w14:solidFill>
          </w14:textFill>
        </w:rPr>
        <w:t>万亩，土地利用类型主要为耕地、未利用地、工矿用地，其中包括部分灌木林地、草地等，其中：</w:t>
      </w:r>
      <w:r>
        <w:rPr>
          <w:color w:val="000000" w:themeColor="text1"/>
          <w14:textFill>
            <w14:solidFill>
              <w14:schemeClr w14:val="tx1"/>
            </w14:solidFill>
          </w14:textFill>
        </w:rPr>
        <w:t>1000</w:t>
      </w:r>
      <w:r>
        <w:rPr>
          <w:rFonts w:hint="eastAsia"/>
          <w:color w:val="000000" w:themeColor="text1"/>
          <w14:textFill>
            <w14:solidFill>
              <w14:schemeClr w14:val="tx1"/>
            </w14:solidFill>
          </w14:textFill>
        </w:rPr>
        <w:t>亩以上地块</w:t>
      </w:r>
      <w:r>
        <w:rPr>
          <w:color w:val="000000" w:themeColor="text1"/>
          <w14:textFill>
            <w14:solidFill>
              <w14:schemeClr w14:val="tx1"/>
            </w14:solidFill>
          </w14:textFill>
        </w:rPr>
        <w:t>44</w:t>
      </w:r>
      <w:r>
        <w:rPr>
          <w:rFonts w:hint="eastAsia"/>
          <w:color w:val="000000" w:themeColor="text1"/>
          <w14:textFill>
            <w14:solidFill>
              <w14:schemeClr w14:val="tx1"/>
            </w14:solidFill>
          </w14:textFill>
        </w:rPr>
        <w:t>个，</w:t>
      </w:r>
      <w:r>
        <w:rPr>
          <w:color w:val="000000" w:themeColor="text1"/>
          <w14:textFill>
            <w14:solidFill>
              <w14:schemeClr w14:val="tx1"/>
            </w14:solidFill>
          </w14:textFill>
        </w:rPr>
        <w:t>500-1000</w:t>
      </w:r>
      <w:r>
        <w:rPr>
          <w:rFonts w:hint="eastAsia"/>
          <w:color w:val="000000" w:themeColor="text1"/>
          <w14:textFill>
            <w14:solidFill>
              <w14:schemeClr w14:val="tx1"/>
            </w14:solidFill>
          </w14:textFill>
        </w:rPr>
        <w:t>亩地块</w:t>
      </w:r>
      <w:r>
        <w:rPr>
          <w:color w:val="000000" w:themeColor="text1"/>
          <w14:textFill>
            <w14:solidFill>
              <w14:schemeClr w14:val="tx1"/>
            </w14:solidFill>
          </w14:textFill>
        </w:rPr>
        <w:t>29</w:t>
      </w:r>
      <w:r>
        <w:rPr>
          <w:rFonts w:hint="eastAsia"/>
          <w:color w:val="000000" w:themeColor="text1"/>
          <w14:textFill>
            <w14:solidFill>
              <w14:schemeClr w14:val="tx1"/>
            </w14:solidFill>
          </w14:textFill>
        </w:rPr>
        <w:t>个，</w:t>
      </w:r>
      <w:r>
        <w:rPr>
          <w:color w:val="000000" w:themeColor="text1"/>
          <w14:textFill>
            <w14:solidFill>
              <w14:schemeClr w14:val="tx1"/>
            </w14:solidFill>
          </w14:textFill>
        </w:rPr>
        <w:t>300-500</w:t>
      </w:r>
      <w:r>
        <w:rPr>
          <w:rFonts w:hint="eastAsia"/>
          <w:color w:val="000000" w:themeColor="text1"/>
          <w14:textFill>
            <w14:solidFill>
              <w14:schemeClr w14:val="tx1"/>
            </w14:solidFill>
          </w14:textFill>
        </w:rPr>
        <w:t>亩</w:t>
      </w:r>
      <w:r>
        <w:rPr>
          <w:color w:val="000000" w:themeColor="text1"/>
          <w14:textFill>
            <w14:solidFill>
              <w14:schemeClr w14:val="tx1"/>
            </w14:solidFill>
          </w14:textFill>
        </w:rPr>
        <w:t>24</w:t>
      </w:r>
      <w:r>
        <w:rPr>
          <w:rFonts w:hint="eastAsia"/>
          <w:color w:val="000000" w:themeColor="text1"/>
          <w14:textFill>
            <w14:solidFill>
              <w14:schemeClr w14:val="tx1"/>
            </w14:solidFill>
          </w14:textFill>
        </w:rPr>
        <w:t>块，</w:t>
      </w:r>
      <w:r>
        <w:rPr>
          <w:color w:val="000000" w:themeColor="text1"/>
          <w14:textFill>
            <w14:solidFill>
              <w14:schemeClr w14:val="tx1"/>
            </w14:solidFill>
          </w14:textFill>
        </w:rPr>
        <w:t>300</w:t>
      </w:r>
      <w:r>
        <w:rPr>
          <w:rFonts w:hint="eastAsia"/>
          <w:color w:val="000000" w:themeColor="text1"/>
          <w14:textFill>
            <w14:solidFill>
              <w14:schemeClr w14:val="tx1"/>
            </w14:solidFill>
          </w14:textFill>
        </w:rPr>
        <w:t>亩以下的</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块。若建设</w:t>
      </w:r>
      <w:r>
        <w:rPr>
          <w:color w:val="000000" w:themeColor="text1"/>
          <w14:textFill>
            <w14:solidFill>
              <w14:schemeClr w14:val="tx1"/>
            </w14:solidFill>
          </w14:textFill>
        </w:rPr>
        <w:t>10000</w:t>
      </w:r>
      <w:r>
        <w:rPr>
          <w:rFonts w:hint="eastAsia"/>
          <w:color w:val="000000" w:themeColor="text1"/>
          <w14:textFill>
            <w14:solidFill>
              <w14:schemeClr w14:val="tx1"/>
            </w14:solidFill>
          </w14:textFill>
        </w:rPr>
        <w:t>头以上奶牛养殖场，则需要</w:t>
      </w:r>
      <w:r>
        <w:rPr>
          <w:color w:val="000000" w:themeColor="text1"/>
          <w14:textFill>
            <w14:solidFill>
              <w14:schemeClr w14:val="tx1"/>
            </w14:solidFill>
          </w14:textFill>
        </w:rPr>
        <w:t>1000</w:t>
      </w:r>
      <w:r>
        <w:rPr>
          <w:rFonts w:hint="eastAsia"/>
          <w:color w:val="000000" w:themeColor="text1"/>
          <w14:textFill>
            <w14:solidFill>
              <w14:schemeClr w14:val="tx1"/>
            </w14:solidFill>
          </w14:textFill>
        </w:rPr>
        <w:t>亩以上的地块，主要分布在清水河县、土默特左旗、托克托县和和林格尔县，其中土默特左旗</w:t>
      </w:r>
      <w:r>
        <w:rPr>
          <w:color w:val="000000" w:themeColor="text1"/>
          <w14:textFill>
            <w14:solidFill>
              <w14:schemeClr w14:val="tx1"/>
            </w14:solidFill>
          </w14:textFill>
        </w:rPr>
        <w:t>11</w:t>
      </w:r>
      <w:r>
        <w:rPr>
          <w:rFonts w:hint="eastAsia"/>
          <w:color w:val="000000" w:themeColor="text1"/>
          <w14:textFill>
            <w14:solidFill>
              <w14:schemeClr w14:val="tx1"/>
            </w14:solidFill>
          </w14:textFill>
        </w:rPr>
        <w:t>块、清水河县</w:t>
      </w:r>
      <w:r>
        <w:rPr>
          <w:color w:val="000000" w:themeColor="text1"/>
          <w14:textFill>
            <w14:solidFill>
              <w14:schemeClr w14:val="tx1"/>
            </w14:solidFill>
          </w14:textFill>
        </w:rPr>
        <w:t>17</w:t>
      </w:r>
      <w:r>
        <w:rPr>
          <w:rFonts w:hint="eastAsia"/>
          <w:color w:val="000000" w:themeColor="text1"/>
          <w14:textFill>
            <w14:solidFill>
              <w14:schemeClr w14:val="tx1"/>
            </w14:solidFill>
          </w14:textFill>
        </w:rPr>
        <w:t>块、托克托县和和林格尔县各</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块。目前，呼和浩特市奶牛养殖量约</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万头，按照到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年奶牛养殖量扩大到</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万头的目标，需增加</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万头，预计需要奶牛场建设用地</w:t>
      </w:r>
      <w:r>
        <w:rPr>
          <w:color w:val="000000" w:themeColor="text1"/>
          <w14:textFill>
            <w14:solidFill>
              <w14:schemeClr w14:val="tx1"/>
            </w14:solidFill>
          </w14:textFill>
        </w:rPr>
        <w:t>4.5</w:t>
      </w:r>
      <w:r>
        <w:rPr>
          <w:rFonts w:hint="eastAsia"/>
          <w:color w:val="000000" w:themeColor="text1"/>
          <w14:textFill>
            <w14:solidFill>
              <w14:schemeClr w14:val="tx1"/>
            </w14:solidFill>
          </w14:textFill>
        </w:rPr>
        <w:t>万亩，则存量土地可满足养殖业发展需求。根据内蒙古自治区养殖业用地政策，一般耕地、宜林地、少量基本农田可以用于设施农业用地，根据各旗县区土地存量情况分析，可满足养殖业发展用地需求，但未考虑土地平整、占补平衡等因素，后期使用难度和费用会较大。具体分布情况见表</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p>
    <w:p>
      <w:pPr>
        <w:ind w:firstLine="0" w:firstLineChars="0"/>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表</w:t>
      </w:r>
      <w:r>
        <w:rPr>
          <w:b/>
          <w:bCs/>
          <w:color w:val="000000" w:themeColor="text1"/>
          <w:sz w:val="24"/>
          <w:szCs w:val="24"/>
          <w14:textFill>
            <w14:solidFill>
              <w14:schemeClr w14:val="tx1"/>
            </w14:solidFill>
          </w14:textFill>
        </w:rPr>
        <w:t>3-2</w:t>
      </w:r>
      <w:r>
        <w:rPr>
          <w:rFonts w:hint="eastAsia"/>
          <w:b/>
          <w:bCs/>
          <w:color w:val="000000" w:themeColor="text1"/>
          <w:sz w:val="24"/>
          <w:szCs w:val="24"/>
          <w14:textFill>
            <w14:solidFill>
              <w14:schemeClr w14:val="tx1"/>
            </w14:solidFill>
          </w14:textFill>
        </w:rPr>
        <w:t>各旗县区可用于养殖业用地按地块分布表</w:t>
      </w:r>
    </w:p>
    <w:tbl>
      <w:tblPr>
        <w:tblStyle w:val="35"/>
        <w:tblW w:w="8445"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37"/>
        <w:gridCol w:w="812"/>
        <w:gridCol w:w="1279"/>
        <w:gridCol w:w="1151"/>
        <w:gridCol w:w="1280"/>
        <w:gridCol w:w="1279"/>
        <w:gridCol w:w="14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3" w:hRule="atLeast"/>
        </w:trPr>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区分</w:t>
            </w:r>
          </w:p>
        </w:tc>
        <w:tc>
          <w:tcPr>
            <w:tcW w:w="81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地块</w:t>
            </w:r>
          </w:p>
          <w:p>
            <w:pPr>
              <w:pStyle w:val="75"/>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个数</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总面积</w:t>
            </w:r>
          </w:p>
        </w:tc>
        <w:tc>
          <w:tcPr>
            <w:tcW w:w="11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b/>
                <w:bCs/>
                <w:color w:val="000000" w:themeColor="text1"/>
                <w14:textFill>
                  <w14:solidFill>
                    <w14:schemeClr w14:val="tx1"/>
                  </w14:solidFill>
                </w14:textFill>
              </w:rPr>
            </w:pPr>
            <w:r>
              <w:rPr>
                <w:b/>
                <w:bCs/>
                <w:color w:val="000000" w:themeColor="text1"/>
                <w14:textFill>
                  <w14:solidFill>
                    <w14:schemeClr w14:val="tx1"/>
                  </w14:solidFill>
                </w14:textFill>
              </w:rPr>
              <w:t>300</w:t>
            </w:r>
            <w:r>
              <w:rPr>
                <w:rFonts w:hint="eastAsia"/>
                <w:b/>
                <w:bCs/>
                <w:color w:val="000000" w:themeColor="text1"/>
                <w14:textFill>
                  <w14:solidFill>
                    <w14:schemeClr w14:val="tx1"/>
                  </w14:solidFill>
                </w14:textFill>
              </w:rPr>
              <w:t>亩以下</w:t>
            </w:r>
          </w:p>
        </w:tc>
        <w:tc>
          <w:tcPr>
            <w:tcW w:w="12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b/>
                <w:bCs/>
                <w:color w:val="000000" w:themeColor="text1"/>
                <w14:textFill>
                  <w14:solidFill>
                    <w14:schemeClr w14:val="tx1"/>
                  </w14:solidFill>
                </w14:textFill>
              </w:rPr>
            </w:pPr>
            <w:r>
              <w:rPr>
                <w:b/>
                <w:bCs/>
                <w:color w:val="000000" w:themeColor="text1"/>
                <w14:textFill>
                  <w14:solidFill>
                    <w14:schemeClr w14:val="tx1"/>
                  </w14:solidFill>
                </w14:textFill>
              </w:rPr>
              <w:t>300-500</w:t>
            </w:r>
            <w:r>
              <w:rPr>
                <w:rFonts w:hint="eastAsia"/>
                <w:b/>
                <w:bCs/>
                <w:color w:val="000000" w:themeColor="text1"/>
                <w14:textFill>
                  <w14:solidFill>
                    <w14:schemeClr w14:val="tx1"/>
                  </w14:solidFill>
                </w14:textFill>
              </w:rPr>
              <w:t>亩</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b/>
                <w:bCs/>
                <w:color w:val="000000" w:themeColor="text1"/>
                <w14:textFill>
                  <w14:solidFill>
                    <w14:schemeClr w14:val="tx1"/>
                  </w14:solidFill>
                </w14:textFill>
              </w:rPr>
            </w:pPr>
            <w:r>
              <w:rPr>
                <w:b/>
                <w:bCs/>
                <w:color w:val="000000" w:themeColor="text1"/>
                <w14:textFill>
                  <w14:solidFill>
                    <w14:schemeClr w14:val="tx1"/>
                  </w14:solidFill>
                </w14:textFill>
              </w:rPr>
              <w:t>500-1000</w:t>
            </w:r>
            <w:r>
              <w:rPr>
                <w:rFonts w:hint="eastAsia"/>
                <w:b/>
                <w:bCs/>
                <w:color w:val="000000" w:themeColor="text1"/>
                <w14:textFill>
                  <w14:solidFill>
                    <w14:schemeClr w14:val="tx1"/>
                  </w14:solidFill>
                </w14:textFill>
              </w:rPr>
              <w:t>亩</w:t>
            </w:r>
          </w:p>
        </w:tc>
        <w:tc>
          <w:tcPr>
            <w:tcW w:w="14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b/>
                <w:bCs/>
                <w:color w:val="000000" w:themeColor="text1"/>
                <w14:textFill>
                  <w14:solidFill>
                    <w14:schemeClr w14:val="tx1"/>
                  </w14:solidFill>
                </w14:textFill>
              </w:rPr>
            </w:pPr>
            <w:r>
              <w:rPr>
                <w:b/>
                <w:bCs/>
                <w:color w:val="000000" w:themeColor="text1"/>
                <w14:textFill>
                  <w14:solidFill>
                    <w14:schemeClr w14:val="tx1"/>
                  </w14:solidFill>
                </w14:textFill>
              </w:rPr>
              <w:t>1000</w:t>
            </w:r>
            <w:r>
              <w:rPr>
                <w:rFonts w:hint="eastAsia"/>
                <w:b/>
                <w:bCs/>
                <w:color w:val="000000" w:themeColor="text1"/>
                <w14:textFill>
                  <w14:solidFill>
                    <w14:schemeClr w14:val="tx1"/>
                  </w14:solidFill>
                </w14:textFill>
              </w:rPr>
              <w:t>亩以上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土左旗</w:t>
            </w:r>
          </w:p>
        </w:tc>
        <w:tc>
          <w:tcPr>
            <w:tcW w:w="81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46</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3.19</w:t>
            </w:r>
            <w:r>
              <w:rPr>
                <w:rFonts w:hint="eastAsia"/>
                <w:color w:val="000000" w:themeColor="text1"/>
                <w14:textFill>
                  <w14:solidFill>
                    <w14:schemeClr w14:val="tx1"/>
                  </w14:solidFill>
                </w14:textFill>
              </w:rPr>
              <w:t>万亩</w:t>
            </w:r>
          </w:p>
        </w:tc>
        <w:tc>
          <w:tcPr>
            <w:tcW w:w="11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17</w:t>
            </w:r>
          </w:p>
        </w:tc>
        <w:tc>
          <w:tcPr>
            <w:tcW w:w="12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12</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6</w:t>
            </w:r>
          </w:p>
        </w:tc>
        <w:tc>
          <w:tcPr>
            <w:tcW w:w="14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6" w:hRule="atLeast"/>
        </w:trPr>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和林县</w:t>
            </w:r>
          </w:p>
        </w:tc>
        <w:tc>
          <w:tcPr>
            <w:tcW w:w="81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2.05</w:t>
            </w:r>
            <w:r>
              <w:rPr>
                <w:rFonts w:hint="eastAsia"/>
                <w:color w:val="000000" w:themeColor="text1"/>
                <w14:textFill>
                  <w14:solidFill>
                    <w14:schemeClr w14:val="tx1"/>
                  </w14:solidFill>
                </w14:textFill>
              </w:rPr>
              <w:t>万亩</w:t>
            </w:r>
          </w:p>
        </w:tc>
        <w:tc>
          <w:tcPr>
            <w:tcW w:w="11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p>
        </w:tc>
        <w:tc>
          <w:tcPr>
            <w:tcW w:w="12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1</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1</w:t>
            </w:r>
          </w:p>
        </w:tc>
        <w:tc>
          <w:tcPr>
            <w:tcW w:w="14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清水河县</w:t>
            </w:r>
          </w:p>
        </w:tc>
        <w:tc>
          <w:tcPr>
            <w:tcW w:w="81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20</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4.55</w:t>
            </w:r>
            <w:r>
              <w:rPr>
                <w:rFonts w:hint="eastAsia"/>
                <w:color w:val="000000" w:themeColor="text1"/>
                <w14:textFill>
                  <w14:solidFill>
                    <w14:schemeClr w14:val="tx1"/>
                  </w14:solidFill>
                </w14:textFill>
              </w:rPr>
              <w:t>万亩</w:t>
            </w:r>
          </w:p>
        </w:tc>
        <w:tc>
          <w:tcPr>
            <w:tcW w:w="11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p>
        </w:tc>
        <w:tc>
          <w:tcPr>
            <w:tcW w:w="12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3</w:t>
            </w:r>
          </w:p>
        </w:tc>
        <w:tc>
          <w:tcPr>
            <w:tcW w:w="14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托克托县</w:t>
            </w:r>
          </w:p>
        </w:tc>
        <w:tc>
          <w:tcPr>
            <w:tcW w:w="81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81</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3.6</w:t>
            </w:r>
            <w:r>
              <w:rPr>
                <w:rFonts w:hint="eastAsia"/>
                <w:color w:val="000000" w:themeColor="text1"/>
                <w14:textFill>
                  <w14:solidFill>
                    <w14:schemeClr w14:val="tx1"/>
                  </w14:solidFill>
                </w14:textFill>
              </w:rPr>
              <w:t>万亩</w:t>
            </w:r>
          </w:p>
        </w:tc>
        <w:tc>
          <w:tcPr>
            <w:tcW w:w="11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43</w:t>
            </w:r>
          </w:p>
        </w:tc>
        <w:tc>
          <w:tcPr>
            <w:tcW w:w="12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11</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19</w:t>
            </w:r>
          </w:p>
        </w:tc>
        <w:tc>
          <w:tcPr>
            <w:tcW w:w="14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6" w:hRule="atLeast"/>
        </w:trPr>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81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156</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13.39</w:t>
            </w:r>
            <w:r>
              <w:rPr>
                <w:rFonts w:hint="eastAsia"/>
                <w:color w:val="000000" w:themeColor="text1"/>
                <w14:textFill>
                  <w14:solidFill>
                    <w14:schemeClr w14:val="tx1"/>
                  </w14:solidFill>
                </w14:textFill>
              </w:rPr>
              <w:t>万亩</w:t>
            </w:r>
          </w:p>
        </w:tc>
        <w:tc>
          <w:tcPr>
            <w:tcW w:w="11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60</w:t>
            </w:r>
          </w:p>
        </w:tc>
        <w:tc>
          <w:tcPr>
            <w:tcW w:w="12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24</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29</w:t>
            </w:r>
          </w:p>
        </w:tc>
        <w:tc>
          <w:tcPr>
            <w:tcW w:w="14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44</w:t>
            </w:r>
          </w:p>
        </w:tc>
      </w:tr>
    </w:tbl>
    <w:p>
      <w:pPr>
        <w:ind w:firstLine="560"/>
        <w:rPr>
          <w:color w:val="000000" w:themeColor="text1"/>
          <w14:textFill>
            <w14:solidFill>
              <w14:schemeClr w14:val="tx1"/>
            </w14:solidFill>
          </w14:textFill>
        </w:rPr>
      </w:pPr>
      <w:bookmarkStart w:id="18" w:name="_Toc78735816"/>
      <w:bookmarkEnd w:id="18"/>
      <w:r>
        <w:rPr>
          <w:rFonts w:hint="eastAsia"/>
          <w:color w:val="000000" w:themeColor="text1"/>
          <w14:textFill>
            <w14:solidFill>
              <w14:schemeClr w14:val="tx1"/>
            </w14:solidFill>
          </w14:textFill>
        </w:rPr>
        <w:t>根据以上土地、水资源、环境承载力、兼顾其他畜种养殖布局等因素综合分析，呼和浩特市地区奶牛养殖量宜控制在60万头以内。</w:t>
      </w:r>
    </w:p>
    <w:p>
      <w:pPr>
        <w:pStyle w:val="3"/>
        <w:ind w:firstLine="643"/>
        <w:rPr>
          <w:color w:val="000000" w:themeColor="text1"/>
          <w14:textFill>
            <w14:solidFill>
              <w14:schemeClr w14:val="tx1"/>
            </w14:solidFill>
          </w14:textFill>
        </w:rPr>
      </w:pPr>
      <w:bookmarkStart w:id="19" w:name="_Toc80215045"/>
      <w:r>
        <w:rPr>
          <w:color w:val="000000" w:themeColor="text1"/>
          <w14:textFill>
            <w14:solidFill>
              <w14:schemeClr w14:val="tx1"/>
            </w14:solidFill>
          </w14:textFill>
        </w:rPr>
        <w:t>总体布局</w:t>
      </w:r>
      <w:bookmarkEnd w:id="19"/>
    </w:p>
    <w:p>
      <w:pPr>
        <w:ind w:firstLine="560"/>
        <w:rPr>
          <w:rFonts w:eastAsia="仿宋_GB2312" w:cs="Times New Roman"/>
          <w:color w:val="000000" w:themeColor="text1"/>
          <w:sz w:val="30"/>
          <w:shd w:val="clear" w:color="auto" w:fill="FFFFFF"/>
          <w14:textFill>
            <w14:solidFill>
              <w14:schemeClr w14:val="tx1"/>
            </w14:solidFill>
          </w14:textFill>
        </w:rPr>
      </w:pPr>
      <w:r>
        <w:rPr>
          <w:rFonts w:hint="eastAsia" w:cs="Times New Roman"/>
          <w:color w:val="000000" w:themeColor="text1"/>
          <w:szCs w:val="30"/>
          <w14:textFill>
            <w14:solidFill>
              <w14:schemeClr w14:val="tx1"/>
            </w14:solidFill>
          </w14:textFill>
        </w:rPr>
        <w:t>结合全市奶业发展基础及环境容量、资源承载力等条件，</w:t>
      </w:r>
      <w:r>
        <w:rPr>
          <w:rFonts w:hint="eastAsia" w:cs="Times New Roman"/>
          <w:color w:val="000000" w:themeColor="text1"/>
          <w:shd w:val="clear" w:color="auto" w:fill="FFFFFF"/>
          <w14:textFill>
            <w14:solidFill>
              <w14:schemeClr w14:val="tx1"/>
            </w14:solidFill>
          </w14:textFill>
        </w:rPr>
        <w:t>坚持空间布局与区域布局相统一，全面推进与集中集约相协调，</w:t>
      </w:r>
      <w:r>
        <w:rPr>
          <w:rFonts w:hint="eastAsia" w:cs="Times New Roman"/>
          <w:color w:val="000000" w:themeColor="text1"/>
          <w:szCs w:val="30"/>
          <w14:textFill>
            <w14:solidFill>
              <w14:schemeClr w14:val="tx1"/>
            </w14:solidFill>
          </w14:textFill>
        </w:rPr>
        <w:t>推动形成</w:t>
      </w:r>
      <w:r>
        <w:rPr>
          <w:rFonts w:cs="Times New Roman"/>
          <w:color w:val="000000" w:themeColor="text1"/>
          <w:szCs w:val="30"/>
          <w14:textFill>
            <w14:solidFill>
              <w14:schemeClr w14:val="tx1"/>
            </w14:solidFill>
          </w14:textFill>
        </w:rPr>
        <w:t>“</w:t>
      </w:r>
      <w:r>
        <w:rPr>
          <w:rFonts w:hint="eastAsia" w:cs="Times New Roman"/>
          <w:color w:val="000000" w:themeColor="text1"/>
          <w:szCs w:val="30"/>
          <w14:textFill>
            <w14:solidFill>
              <w14:schemeClr w14:val="tx1"/>
            </w14:solidFill>
          </w14:textFill>
        </w:rPr>
        <w:t>一心引领、两核带动、三区协调</w:t>
      </w:r>
      <w:r>
        <w:rPr>
          <w:rFonts w:cs="Times New Roman"/>
          <w:color w:val="000000" w:themeColor="text1"/>
          <w:szCs w:val="30"/>
          <w14:textFill>
            <w14:solidFill>
              <w14:schemeClr w14:val="tx1"/>
            </w14:solidFill>
          </w14:textFill>
        </w:rPr>
        <w:t>”</w:t>
      </w:r>
      <w:r>
        <w:rPr>
          <w:rFonts w:hint="eastAsia" w:cs="Times New Roman"/>
          <w:color w:val="000000" w:themeColor="text1"/>
          <w:szCs w:val="30"/>
          <w14:textFill>
            <w14:solidFill>
              <w14:schemeClr w14:val="tx1"/>
            </w14:solidFill>
          </w14:textFill>
        </w:rPr>
        <w:t>的发展格局</w:t>
      </w:r>
      <w:r>
        <w:rPr>
          <w:rFonts w:hint="eastAsia" w:cs="Times New Roman"/>
          <w:color w:val="000000" w:themeColor="text1"/>
          <w:shd w:val="clear" w:color="auto" w:fill="FFFFFF"/>
          <w14:textFill>
            <w14:solidFill>
              <w14:schemeClr w14:val="tx1"/>
            </w14:solidFill>
          </w14:textFill>
        </w:rPr>
        <w:t>。</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一心引领</w:t>
      </w:r>
    </w:p>
    <w:p>
      <w:pPr>
        <w:ind w:firstLine="562"/>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——全球</w:t>
      </w:r>
      <w:r>
        <w:rPr>
          <w:b/>
          <w:bCs/>
          <w:color w:val="000000" w:themeColor="text1"/>
          <w:shd w:val="clear" w:color="auto" w:fill="FFFFFF"/>
          <w14:textFill>
            <w14:solidFill>
              <w14:schemeClr w14:val="tx1"/>
            </w14:solidFill>
          </w14:textFill>
        </w:rPr>
        <w:t>乳业创新中心。</w:t>
      </w:r>
      <w:r>
        <w:rPr>
          <w:rFonts w:hint="eastAsia"/>
          <w:color w:val="000000" w:themeColor="text1"/>
          <w:shd w:val="clear" w:color="auto" w:fill="FFFFFF"/>
          <w14:textFill>
            <w14:solidFill>
              <w14:schemeClr w14:val="tx1"/>
            </w14:solidFill>
          </w14:textFill>
        </w:rPr>
        <w:t>在土左旗、和林格尔县重点打造</w:t>
      </w:r>
      <w:r>
        <w:rPr>
          <w:color w:val="000000" w:themeColor="text1"/>
          <w:shd w:val="clear" w:color="auto" w:fill="FFFFFF"/>
          <w14:textFill>
            <w14:solidFill>
              <w14:schemeClr w14:val="tx1"/>
            </w14:solidFill>
          </w14:textFill>
        </w:rPr>
        <w:t>乳业基础研究平台、</w:t>
      </w:r>
      <w:r>
        <w:rPr>
          <w:rFonts w:hint="eastAsia"/>
          <w:color w:val="000000" w:themeColor="text1"/>
          <w14:textFill>
            <w14:solidFill>
              <w14:schemeClr w14:val="tx1"/>
            </w14:solidFill>
          </w14:textFill>
        </w:rPr>
        <w:t>全球乳业大数据共享平台、</w:t>
      </w:r>
      <w:r>
        <w:rPr>
          <w:color w:val="000000" w:themeColor="text1"/>
          <w:shd w:val="clear" w:color="auto" w:fill="FFFFFF"/>
          <w14:textFill>
            <w14:solidFill>
              <w14:schemeClr w14:val="tx1"/>
            </w14:solidFill>
          </w14:textFill>
        </w:rPr>
        <w:t>国家技术标准创新基地三大行业创新</w:t>
      </w:r>
      <w:r>
        <w:rPr>
          <w:rFonts w:hint="eastAsia"/>
          <w:color w:val="000000" w:themeColor="text1"/>
          <w:shd w:val="clear" w:color="auto" w:fill="FFFFFF"/>
          <w14:textFill>
            <w14:solidFill>
              <w14:schemeClr w14:val="tx1"/>
            </w14:solidFill>
          </w14:textFill>
        </w:rPr>
        <w:t>平台，充分承接先进科研成果，引入高端科研资源，推动现代乳业重大共性技术攻关和转化落地，形成集良种繁育、</w:t>
      </w:r>
      <w:r>
        <w:rPr>
          <w:color w:val="000000" w:themeColor="text1"/>
          <w:shd w:val="clear" w:color="auto" w:fill="FFFFFF"/>
          <w14:textFill>
            <w14:solidFill>
              <w14:schemeClr w14:val="tx1"/>
            </w14:solidFill>
          </w14:textFill>
        </w:rPr>
        <w:t>疫病防控、</w:t>
      </w:r>
      <w:r>
        <w:rPr>
          <w:rFonts w:hint="eastAsia"/>
          <w:color w:val="000000" w:themeColor="text1"/>
          <w:shd w:val="clear" w:color="auto" w:fill="FFFFFF"/>
          <w14:textFill>
            <w14:solidFill>
              <w14:schemeClr w14:val="tx1"/>
            </w14:solidFill>
          </w14:textFill>
        </w:rPr>
        <w:t>乳品加工</w:t>
      </w:r>
      <w:r>
        <w:rPr>
          <w:color w:val="000000" w:themeColor="text1"/>
          <w:shd w:val="clear" w:color="auto" w:fill="FFFFFF"/>
          <w14:textFill>
            <w14:solidFill>
              <w14:schemeClr w14:val="tx1"/>
            </w14:solidFill>
          </w14:textFill>
        </w:rPr>
        <w:t>、高端产品开发</w:t>
      </w:r>
      <w:r>
        <w:rPr>
          <w:rFonts w:hint="eastAsia"/>
          <w:color w:val="000000" w:themeColor="text1"/>
          <w:shd w:val="clear" w:color="auto" w:fill="FFFFFF"/>
          <w14:textFill>
            <w14:solidFill>
              <w14:schemeClr w14:val="tx1"/>
            </w14:solidFill>
          </w14:textFill>
        </w:rPr>
        <w:t>、服务创新</w:t>
      </w:r>
      <w:r>
        <w:rPr>
          <w:color w:val="000000" w:themeColor="text1"/>
          <w:shd w:val="clear" w:color="auto" w:fill="FFFFFF"/>
          <w14:textFill>
            <w14:solidFill>
              <w14:schemeClr w14:val="tx1"/>
            </w14:solidFill>
          </w14:textFill>
        </w:rPr>
        <w:t>等产业链环节的</w:t>
      </w:r>
      <w:r>
        <w:rPr>
          <w:rFonts w:hint="eastAsia"/>
          <w:color w:val="000000" w:themeColor="text1"/>
          <w:shd w:val="clear" w:color="auto" w:fill="FFFFFF"/>
          <w14:textFill>
            <w14:solidFill>
              <w14:schemeClr w14:val="tx1"/>
            </w14:solidFill>
          </w14:textFill>
        </w:rPr>
        <w:t>科技和机制</w:t>
      </w:r>
      <w:r>
        <w:rPr>
          <w:color w:val="000000" w:themeColor="text1"/>
          <w:shd w:val="clear" w:color="auto" w:fill="FFFFFF"/>
          <w14:textFill>
            <w14:solidFill>
              <w14:schemeClr w14:val="tx1"/>
            </w14:solidFill>
          </w14:textFill>
        </w:rPr>
        <w:t>创新体系</w:t>
      </w:r>
      <w:r>
        <w:rPr>
          <w:rFonts w:hint="eastAsia"/>
          <w:color w:val="000000" w:themeColor="text1"/>
          <w:shd w:val="clear" w:color="auto" w:fill="FFFFFF"/>
          <w14:textFill>
            <w14:solidFill>
              <w14:schemeClr w14:val="tx1"/>
            </w14:solidFill>
          </w14:textFill>
        </w:rPr>
        <w:t>。</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两核带动</w:t>
      </w:r>
    </w:p>
    <w:p>
      <w:pPr>
        <w:pStyle w:val="56"/>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——伊利现代智慧健康谷现代乳业集聚区。</w:t>
      </w:r>
      <w:r>
        <w:rPr>
          <w:rFonts w:hint="eastAsia"/>
          <w:color w:val="000000" w:themeColor="text1"/>
          <w14:textFill>
            <w14:solidFill>
              <w14:schemeClr w14:val="tx1"/>
            </w14:solidFill>
          </w14:textFill>
        </w:rPr>
        <w:t>依托</w:t>
      </w:r>
      <w:bookmarkStart w:id="20" w:name="_Hlk60210750"/>
      <w:r>
        <w:rPr>
          <w:rFonts w:hint="eastAsia"/>
          <w:color w:val="000000" w:themeColor="text1"/>
          <w14:textFill>
            <w14:solidFill>
              <w14:schemeClr w14:val="tx1"/>
            </w14:solidFill>
          </w14:textFill>
        </w:rPr>
        <w:t>伊利现代智慧健康谷</w:t>
      </w:r>
      <w:bookmarkEnd w:id="20"/>
      <w:r>
        <w:rPr>
          <w:rFonts w:hint="eastAsia"/>
          <w:color w:val="000000" w:themeColor="text1"/>
          <w14:textFill>
            <w14:solidFill>
              <w14:schemeClr w14:val="tx1"/>
            </w14:solidFill>
          </w14:textFill>
        </w:rPr>
        <w:t>，建设优质奶源生产基地，</w:t>
      </w:r>
      <w:r>
        <w:rPr>
          <w:rFonts w:hint="eastAsia"/>
          <w:color w:val="000000" w:themeColor="text1"/>
          <w:lang w:eastAsia="zh-TW"/>
          <w14:textFill>
            <w14:solidFill>
              <w14:schemeClr w14:val="tx1"/>
            </w14:solidFill>
          </w14:textFill>
        </w:rPr>
        <w:t>加强奶制品精深加工，</w:t>
      </w:r>
      <w:r>
        <w:rPr>
          <w:rFonts w:hint="eastAsia"/>
          <w:color w:val="000000" w:themeColor="text1"/>
          <w14:textFill>
            <w14:solidFill>
              <w14:schemeClr w14:val="tx1"/>
            </w14:solidFill>
          </w14:textFill>
        </w:rPr>
        <w:t>建设</w:t>
      </w:r>
      <w:r>
        <w:rPr>
          <w:rFonts w:hint="eastAsia"/>
          <w:color w:val="000000" w:themeColor="text1"/>
          <w:lang w:eastAsia="zh-TW"/>
          <w14:textFill>
            <w14:solidFill>
              <w14:schemeClr w14:val="tx1"/>
            </w14:solidFill>
          </w14:textFill>
        </w:rPr>
        <w:t>国家级乳品安全和检验检测研究中心</w:t>
      </w:r>
      <w:r>
        <w:rPr>
          <w:rFonts w:hint="eastAsia"/>
          <w:color w:val="000000" w:themeColor="text1"/>
          <w14:textFill>
            <w14:solidFill>
              <w14:schemeClr w14:val="tx1"/>
            </w14:solidFill>
          </w14:textFill>
        </w:rPr>
        <w:t>、国家乳业创新中心、全球乳业大会永久会址</w:t>
      </w:r>
      <w:r>
        <w:rPr>
          <w:rFonts w:hint="eastAsia"/>
          <w:color w:val="000000" w:themeColor="text1"/>
          <w:lang w:eastAsia="zh-TW"/>
          <w14:textFill>
            <w14:solidFill>
              <w14:schemeClr w14:val="tx1"/>
            </w14:solidFill>
          </w14:textFill>
        </w:rPr>
        <w:t>，</w:t>
      </w:r>
      <w:r>
        <w:rPr>
          <w:rFonts w:hint="eastAsia"/>
          <w:color w:val="000000" w:themeColor="text1"/>
          <w14:textFill>
            <w14:solidFill>
              <w14:schemeClr w14:val="tx1"/>
            </w14:solidFill>
          </w14:textFill>
        </w:rPr>
        <w:t>发展智慧物流和草原乳文化主题旅游业，</w:t>
      </w:r>
      <w:r>
        <w:rPr>
          <w:rFonts w:hint="eastAsia"/>
          <w:color w:val="000000" w:themeColor="text1"/>
          <w:lang w:eastAsia="zh-TW"/>
          <w14:textFill>
            <w14:solidFill>
              <w14:schemeClr w14:val="tx1"/>
            </w14:solidFill>
          </w14:textFill>
        </w:rPr>
        <w:t>支持中小乳制品企业多元化发展，</w:t>
      </w:r>
      <w:r>
        <w:rPr>
          <w:rFonts w:hint="eastAsia"/>
          <w:color w:val="000000" w:themeColor="text1"/>
          <w14:textFill>
            <w14:solidFill>
              <w14:schemeClr w14:val="tx1"/>
            </w14:solidFill>
          </w14:textFill>
        </w:rPr>
        <w:t>推动一二三产业协同发展，形成产城结合、协调发展的现代乳业集聚区。</w:t>
      </w:r>
    </w:p>
    <w:p>
      <w:pPr>
        <w:pStyle w:val="56"/>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w:t>
      </w:r>
      <w:bookmarkStart w:id="21" w:name="_Hlk60211047"/>
      <w:r>
        <w:rPr>
          <w:rFonts w:hint="eastAsia"/>
          <w:b/>
          <w:bCs/>
          <w:color w:val="000000" w:themeColor="text1"/>
          <w14:textFill>
            <w14:solidFill>
              <w14:schemeClr w14:val="tx1"/>
            </w14:solidFill>
          </w14:textFill>
        </w:rPr>
        <w:t>蒙牛中国乳业产业园</w:t>
      </w:r>
      <w:bookmarkEnd w:id="21"/>
      <w:r>
        <w:rPr>
          <w:rFonts w:hint="eastAsia"/>
          <w:b/>
          <w:bCs/>
          <w:color w:val="000000" w:themeColor="text1"/>
          <w14:textFill>
            <w14:solidFill>
              <w14:schemeClr w14:val="tx1"/>
            </w14:solidFill>
          </w14:textFill>
        </w:rPr>
        <w:t>现代乳业集聚区。</w:t>
      </w:r>
      <w:r>
        <w:rPr>
          <w:rFonts w:hint="eastAsia"/>
          <w:color w:val="000000" w:themeColor="text1"/>
          <w14:textFill>
            <w14:solidFill>
              <w14:schemeClr w14:val="tx1"/>
            </w14:solidFill>
          </w14:textFill>
        </w:rPr>
        <w:t>依托蒙牛中国乳业产业园，建设优质奶源生产基地，增强自主原料供应能力，推进乳制品智能制造业发展，建设乳业交易中心，发展智慧物流、装备制造，打造乳制品加工旅游和乳文化主题公园，</w:t>
      </w:r>
      <w:r>
        <w:rPr>
          <w:rFonts w:hint="eastAsia"/>
          <w:color w:val="000000" w:themeColor="text1"/>
          <w:lang w:eastAsia="zh-TW"/>
          <w14:textFill>
            <w14:solidFill>
              <w14:schemeClr w14:val="tx1"/>
            </w14:solidFill>
          </w14:textFill>
        </w:rPr>
        <w:t>支持羊奶产品开发，</w:t>
      </w:r>
      <w:r>
        <w:rPr>
          <w:rFonts w:hint="eastAsia"/>
          <w:color w:val="000000" w:themeColor="text1"/>
          <w14:textFill>
            <w14:solidFill>
              <w14:schemeClr w14:val="tx1"/>
            </w14:solidFill>
          </w14:textFill>
        </w:rPr>
        <w:t>带动</w:t>
      </w:r>
      <w:r>
        <w:rPr>
          <w:rFonts w:hint="eastAsia"/>
          <w:color w:val="000000" w:themeColor="text1"/>
          <w:lang w:eastAsia="zh-TW"/>
          <w14:textFill>
            <w14:solidFill>
              <w14:schemeClr w14:val="tx1"/>
            </w14:solidFill>
          </w14:textFill>
        </w:rPr>
        <w:t>一二三</w:t>
      </w:r>
      <w:r>
        <w:rPr>
          <w:rFonts w:hint="eastAsia"/>
          <w:color w:val="000000" w:themeColor="text1"/>
          <w14:textFill>
            <w14:solidFill>
              <w14:schemeClr w14:val="tx1"/>
            </w14:solidFill>
          </w14:textFill>
        </w:rPr>
        <w:t>产业融合发展，打造乳制品创新、研发、生产、交易、旅游体验等多维度创新发展的现代乳业集聚区。</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三区协同</w:t>
      </w:r>
    </w:p>
    <w:p>
      <w:pPr>
        <w:ind w:firstLine="562"/>
        <w:rPr>
          <w:rFonts w:cs="Times New Roman"/>
          <w:color w:val="000000" w:themeColor="text1"/>
          <w:szCs w:val="30"/>
          <w14:textFill>
            <w14:solidFill>
              <w14:schemeClr w14:val="tx1"/>
            </w14:solidFill>
          </w14:textFill>
        </w:rPr>
      </w:pPr>
      <w:r>
        <w:rPr>
          <w:rFonts w:hint="eastAsia" w:cs="Times New Roman"/>
          <w:b/>
          <w:color w:val="000000" w:themeColor="text1"/>
          <w:szCs w:val="30"/>
          <w14:textFill>
            <w14:solidFill>
              <w14:schemeClr w14:val="tx1"/>
            </w14:solidFill>
          </w14:textFill>
        </w:rPr>
        <w:t>——中部种养循环示范区。</w:t>
      </w:r>
      <w:r>
        <w:rPr>
          <w:rFonts w:hint="eastAsia" w:cs="Times New Roman"/>
          <w:color w:val="000000" w:themeColor="text1"/>
          <w:szCs w:val="30"/>
          <w14:textFill>
            <w14:solidFill>
              <w14:schemeClr w14:val="tx1"/>
            </w14:solidFill>
          </w14:textFill>
        </w:rPr>
        <w:t>包括和林格尔县、土默特左旗和托克托县及赛罕区，围绕玉米种植带，重点开展标准化奶牛养殖基地建设，加强中小养殖场改造升级，合理布局奶山羊养殖基地，扩大养殖规模，提升优质奶源供应能力；配套青贮玉米、苜蓿草等优质饲草种植基地建设，引导种养一体化、“种</w:t>
      </w:r>
      <w:r>
        <w:rPr>
          <w:rFonts w:cs="Times New Roman"/>
          <w:color w:val="000000" w:themeColor="text1"/>
          <w:szCs w:val="30"/>
          <w14:textFill>
            <w14:solidFill>
              <w14:schemeClr w14:val="tx1"/>
            </w14:solidFill>
          </w14:textFill>
        </w:rPr>
        <w:t>+</w:t>
      </w:r>
      <w:r>
        <w:rPr>
          <w:rFonts w:hint="eastAsia" w:cs="Times New Roman"/>
          <w:color w:val="000000" w:themeColor="text1"/>
          <w:szCs w:val="30"/>
          <w14:textFill>
            <w14:solidFill>
              <w14:schemeClr w14:val="tx1"/>
            </w14:solidFill>
          </w14:textFill>
        </w:rPr>
        <w:t>养</w:t>
      </w:r>
      <w:r>
        <w:rPr>
          <w:rFonts w:cs="Times New Roman"/>
          <w:color w:val="000000" w:themeColor="text1"/>
          <w:szCs w:val="30"/>
          <w14:textFill>
            <w14:solidFill>
              <w14:schemeClr w14:val="tx1"/>
            </w14:solidFill>
          </w14:textFill>
        </w:rPr>
        <w:t>+</w:t>
      </w:r>
      <w:r>
        <w:rPr>
          <w:rFonts w:hint="eastAsia" w:cs="Times New Roman"/>
          <w:color w:val="000000" w:themeColor="text1"/>
          <w:szCs w:val="30"/>
          <w14:textFill>
            <w14:solidFill>
              <w14:schemeClr w14:val="tx1"/>
            </w14:solidFill>
          </w14:textFill>
        </w:rPr>
        <w:t>粪肥消纳”订单合作，实现种养两端有机结合、绿色生产、提升效益，拓展农业增收功能。</w:t>
      </w:r>
      <w:r>
        <w:rPr>
          <w:rFonts w:cs="Times New Roman"/>
          <w:color w:val="000000" w:themeColor="text1"/>
          <w:szCs w:val="30"/>
          <w14:textFill>
            <w14:solidFill>
              <w14:schemeClr w14:val="tx1"/>
            </w14:solidFill>
          </w14:textFill>
        </w:rPr>
        <w:t xml:space="preserve"> </w:t>
      </w:r>
    </w:p>
    <w:p>
      <w:pPr>
        <w:ind w:firstLine="562"/>
        <w:rPr>
          <w:rFonts w:cs="Times New Roman"/>
          <w:color w:val="000000" w:themeColor="text1"/>
          <w:szCs w:val="30"/>
          <w14:textFill>
            <w14:solidFill>
              <w14:schemeClr w14:val="tx1"/>
            </w14:solidFill>
          </w14:textFill>
        </w:rPr>
      </w:pPr>
      <w:r>
        <w:rPr>
          <w:rFonts w:hint="eastAsia" w:cs="Times New Roman"/>
          <w:b/>
          <w:color w:val="000000" w:themeColor="text1"/>
          <w:szCs w:val="30"/>
          <w14:textFill>
            <w14:solidFill>
              <w14:schemeClr w14:val="tx1"/>
            </w14:solidFill>
          </w14:textFill>
        </w:rPr>
        <w:t>——北部生态修复与种养补充区。</w:t>
      </w:r>
      <w:r>
        <w:rPr>
          <w:rFonts w:hint="eastAsia" w:cs="Times New Roman"/>
          <w:color w:val="000000" w:themeColor="text1"/>
          <w:szCs w:val="30"/>
          <w14:textFill>
            <w14:solidFill>
              <w14:schemeClr w14:val="tx1"/>
            </w14:solidFill>
          </w14:textFill>
        </w:rPr>
        <w:t>包括大青山沿线的武川县、新城区为主的北部生态脆弱区，适当布局奶畜养殖，引导燕麦草、苜蓿等饲草种植基地，加强饲草种源保障，推广高产优质饲草品种，结合退牧还草、京津风沙源治理等生态工程，以人工种草做支撑，推动农区、半农半牧区良性互动，适当补充饲草不足问题，有效修复生态环境，实现生产发展与生态修复共赢。</w:t>
      </w:r>
    </w:p>
    <w:p>
      <w:pPr>
        <w:pStyle w:val="13"/>
        <w:ind w:firstLine="562"/>
        <w:rPr>
          <w:color w:val="000000" w:themeColor="text1"/>
          <w14:textFill>
            <w14:solidFill>
              <w14:schemeClr w14:val="tx1"/>
            </w14:solidFill>
          </w14:textFill>
        </w:rPr>
      </w:pPr>
      <w:r>
        <w:rPr>
          <w:rFonts w:hint="eastAsia" w:cs="Times New Roman"/>
          <w:b/>
          <w:color w:val="000000" w:themeColor="text1"/>
          <w:szCs w:val="30"/>
          <w14:textFill>
            <w14:solidFill>
              <w14:schemeClr w14:val="tx1"/>
            </w14:solidFill>
          </w14:textFill>
        </w:rPr>
        <w:t>——南部特色种植养殖区。</w:t>
      </w:r>
      <w:r>
        <w:rPr>
          <w:rFonts w:hint="eastAsia" w:cs="Times New Roman"/>
          <w:color w:val="000000" w:themeColor="text1"/>
          <w:szCs w:val="30"/>
          <w14:textFill>
            <w14:solidFill>
              <w14:schemeClr w14:val="tx1"/>
            </w14:solidFill>
          </w14:textFill>
        </w:rPr>
        <w:t>包括清水河县、和林格尔南部沟壑丘陵区，优化种养业结构，重点发展奶畜良种繁育，大力发展奶羊产业，适度补充奶牛养殖，发展谷草、燕麦饲料种植。</w:t>
      </w:r>
    </w:p>
    <w:p>
      <w:pPr>
        <w:pStyle w:val="3"/>
        <w:ind w:firstLine="643"/>
        <w:rPr>
          <w:color w:val="000000" w:themeColor="text1"/>
          <w14:textFill>
            <w14:solidFill>
              <w14:schemeClr w14:val="tx1"/>
            </w14:solidFill>
          </w14:textFill>
        </w:rPr>
      </w:pPr>
      <w:bookmarkStart w:id="22" w:name="_Toc80215046"/>
      <w:r>
        <w:rPr>
          <w:color w:val="000000" w:themeColor="text1"/>
          <w14:textFill>
            <w14:solidFill>
              <w14:schemeClr w14:val="tx1"/>
            </w14:solidFill>
          </w14:textFill>
        </w:rPr>
        <w:t>产业布局</w:t>
      </w:r>
      <w:bookmarkEnd w:id="22"/>
    </w:p>
    <w:p>
      <w:pPr>
        <w:pStyle w:val="13"/>
        <w:ind w:firstLine="422"/>
        <w:rPr>
          <w:rFonts w:cs="Times New Roman"/>
          <w:b/>
          <w:bCs/>
          <w:color w:val="000000" w:themeColor="text1"/>
          <w14:textFill>
            <w14:solidFill>
              <w14:schemeClr w14:val="tx1"/>
            </w14:solidFill>
          </w14:textFill>
        </w:rPr>
      </w:pPr>
      <w:r>
        <w:rPr>
          <w:rFonts w:cs="Times New Roman"/>
          <w:b/>
          <w:bCs/>
          <w:color w:val="000000" w:themeColor="text1"/>
          <w:sz w:val="21"/>
          <w:szCs w:val="21"/>
          <w14:textFill>
            <w14:solidFill>
              <w14:schemeClr w14:val="tx1"/>
            </w14:solidFill>
          </w14:textFill>
        </w:rPr>
        <w:t>——</w:t>
      </w:r>
      <w:r>
        <w:rPr>
          <w:rFonts w:hint="eastAsia" w:cs="Times New Roman"/>
          <w:b/>
          <w:bCs/>
          <w:color w:val="000000" w:themeColor="text1"/>
          <w14:textFill>
            <w14:solidFill>
              <w14:schemeClr w14:val="tx1"/>
            </w14:solidFill>
          </w14:textFill>
        </w:rPr>
        <w:t>饲草育种和种植基地布局。</w:t>
      </w:r>
      <w:r>
        <w:rPr>
          <w:rFonts w:hint="eastAsia" w:cs="Times New Roman"/>
          <w:color w:val="000000" w:themeColor="text1"/>
          <w:lang w:eastAsia="zh-CN"/>
          <w14:textFill>
            <w14:solidFill>
              <w14:schemeClr w14:val="tx1"/>
            </w14:solidFill>
          </w14:textFill>
        </w:rPr>
        <w:t>完善中国农科院草原研究所、内蒙古蒙草生态环境（集团）有限公司的牧草种质资源库和资源圃建设，</w:t>
      </w:r>
      <w:r>
        <w:rPr>
          <w:rFonts w:hint="eastAsia" w:cs="Times New Roman"/>
          <w:color w:val="000000" w:themeColor="text1"/>
          <w14:textFill>
            <w14:solidFill>
              <w14:schemeClr w14:val="tx1"/>
            </w14:solidFill>
          </w14:textFill>
        </w:rPr>
        <w:t>重点在和林格尔县和土默特左旗发展饲草育种基地；饲草种植基地全域发展，重点在和林格尔县、土默特左旗、托克托县和赛罕区，建设</w:t>
      </w:r>
      <w:r>
        <w:rPr>
          <w:rFonts w:hint="eastAsia"/>
          <w:color w:val="000000" w:themeColor="text1"/>
          <w14:textFill>
            <w14:solidFill>
              <w14:schemeClr w14:val="tx1"/>
            </w14:solidFill>
          </w14:textFill>
        </w:rPr>
        <w:t>优质牧草种植基地180万亩，其中</w:t>
      </w:r>
      <w:r>
        <w:rPr>
          <w:rFonts w:hint="eastAsia" w:cs="Times New Roman"/>
          <w:color w:val="000000" w:themeColor="text1"/>
          <w14:textFill>
            <w14:solidFill>
              <w14:schemeClr w14:val="tx1"/>
            </w14:solidFill>
          </w14:textFill>
        </w:rPr>
        <w:t>以优质苜蓿、燕麦为主的饲草种植基地</w:t>
      </w:r>
      <w:r>
        <w:rPr>
          <w:rFonts w:cs="Times New Roman"/>
          <w:color w:val="000000" w:themeColor="text1"/>
          <w14:textFill>
            <w14:solidFill>
              <w14:schemeClr w14:val="tx1"/>
            </w14:solidFill>
          </w14:textFill>
        </w:rPr>
        <w:t>30</w:t>
      </w:r>
      <w:r>
        <w:rPr>
          <w:rFonts w:hint="eastAsia" w:cs="Times New Roman"/>
          <w:color w:val="000000" w:themeColor="text1"/>
          <w14:textFill>
            <w14:solidFill>
              <w14:schemeClr w14:val="tx1"/>
            </w14:solidFill>
          </w14:textFill>
        </w:rPr>
        <w:t>万亩，在全市推广优质青贮玉米种植面积达到</w:t>
      </w:r>
      <w:r>
        <w:rPr>
          <w:rFonts w:cs="Times New Roman"/>
          <w:color w:val="000000" w:themeColor="text1"/>
          <w14:textFill>
            <w14:solidFill>
              <w14:schemeClr w14:val="tx1"/>
            </w14:solidFill>
          </w14:textFill>
        </w:rPr>
        <w:t>150</w:t>
      </w:r>
      <w:r>
        <w:rPr>
          <w:rFonts w:hint="eastAsia" w:cs="Times New Roman"/>
          <w:color w:val="000000" w:themeColor="text1"/>
          <w14:textFill>
            <w14:solidFill>
              <w14:schemeClr w14:val="tx1"/>
            </w14:solidFill>
          </w14:textFill>
        </w:rPr>
        <w:t>万亩以上</w:t>
      </w:r>
      <w:r>
        <w:rPr>
          <w:rFonts w:hint="eastAsia" w:cs="Times New Roman"/>
          <w:color w:val="000000" w:themeColor="text1"/>
          <w:lang w:eastAsia="zh-CN"/>
          <w14:textFill>
            <w14:solidFill>
              <w14:schemeClr w14:val="tx1"/>
            </w14:solidFill>
          </w14:textFill>
        </w:rPr>
        <w:t>，建设现代牧草科技产业园</w:t>
      </w:r>
      <w:r>
        <w:rPr>
          <w:rFonts w:hint="eastAsia" w:cs="Times New Roman"/>
          <w:color w:val="000000" w:themeColor="text1"/>
          <w14:textFill>
            <w14:solidFill>
              <w14:schemeClr w14:val="tx1"/>
            </w14:solidFill>
          </w14:textFill>
        </w:rPr>
        <w:t>。</w:t>
      </w:r>
    </w:p>
    <w:p>
      <w:pPr>
        <w:ind w:firstLine="56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——种源基地布局。</w:t>
      </w:r>
      <w:r>
        <w:rPr>
          <w:rFonts w:hint="eastAsia" w:cs="Times New Roman"/>
          <w:color w:val="000000" w:themeColor="text1"/>
          <w14:textFill>
            <w14:solidFill>
              <w14:schemeClr w14:val="tx1"/>
            </w14:solidFill>
          </w14:textFill>
        </w:rPr>
        <w:t>提升和林格尔建设育种研发中心</w:t>
      </w:r>
      <w:r>
        <w:rPr>
          <w:rFonts w:cs="Times New Roman"/>
          <w:color w:val="000000" w:themeColor="text1"/>
          <w14:textFill>
            <w14:solidFill>
              <w14:schemeClr w14:val="tx1"/>
            </w14:solidFill>
          </w14:textFill>
        </w:rPr>
        <w:t>和育种基地建设水平，在清水河县建设奶牛繁育基地1处，提供优质冻精和技术服务，</w:t>
      </w:r>
      <w:r>
        <w:rPr>
          <w:rFonts w:hint="eastAsia" w:cs="Times New Roman"/>
          <w:color w:val="000000" w:themeColor="text1"/>
          <w14:textFill>
            <w14:solidFill>
              <w14:schemeClr w14:val="tx1"/>
            </w14:solidFill>
          </w14:textFill>
        </w:rPr>
        <w:t>在土默特左旗、和林格尔县、清水河县、托克托县等建</w:t>
      </w:r>
      <w:r>
        <w:rPr>
          <w:rFonts w:cs="Times New Roman"/>
          <w:color w:val="000000" w:themeColor="text1"/>
          <w:szCs w:val="30"/>
          <w14:textFill>
            <w14:solidFill>
              <w14:schemeClr w14:val="tx1"/>
            </w14:solidFill>
          </w14:textFill>
        </w:rPr>
        <w:t>成奶牛扩繁场</w:t>
      </w:r>
      <w:r>
        <w:rPr>
          <w:rFonts w:hint="eastAsia" w:cs="Times New Roman"/>
          <w:color w:val="000000" w:themeColor="text1"/>
          <w:szCs w:val="30"/>
          <w14:textFill>
            <w14:solidFill>
              <w14:schemeClr w14:val="tx1"/>
            </w14:solidFill>
          </w14:textFill>
        </w:rPr>
        <w:t>15</w:t>
      </w:r>
      <w:r>
        <w:rPr>
          <w:rFonts w:cs="Times New Roman"/>
          <w:color w:val="000000" w:themeColor="text1"/>
          <w:szCs w:val="30"/>
          <w14:textFill>
            <w14:solidFill>
              <w14:schemeClr w14:val="tx1"/>
            </w14:solidFill>
          </w14:textFill>
        </w:rPr>
        <w:t>个；在</w:t>
      </w:r>
      <w:r>
        <w:rPr>
          <w:rFonts w:hint="eastAsia" w:cs="Times New Roman"/>
          <w:color w:val="000000" w:themeColor="text1"/>
          <w14:textFill>
            <w14:solidFill>
              <w14:schemeClr w14:val="tx1"/>
            </w14:solidFill>
          </w14:textFill>
        </w:rPr>
        <w:t>和林格尔县</w:t>
      </w:r>
      <w:r>
        <w:rPr>
          <w:rFonts w:cs="Times New Roman"/>
          <w:color w:val="000000" w:themeColor="text1"/>
          <w:szCs w:val="30"/>
          <w14:textFill>
            <w14:solidFill>
              <w14:schemeClr w14:val="tx1"/>
            </w14:solidFill>
          </w14:textFill>
        </w:rPr>
        <w:t>、清水河县、托克托县建设奶羊</w:t>
      </w:r>
      <w:r>
        <w:rPr>
          <w:rFonts w:cs="Times New Roman"/>
          <w:color w:val="000000" w:themeColor="text1"/>
          <w14:textFill>
            <w14:solidFill>
              <w14:schemeClr w14:val="tx1"/>
            </w14:solidFill>
          </w14:textFill>
        </w:rPr>
        <w:t>繁育基地。</w:t>
      </w:r>
    </w:p>
    <w:p>
      <w:pPr>
        <w:ind w:firstLine="562"/>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——奶源基地布局。</w:t>
      </w:r>
      <w:r>
        <w:rPr>
          <w:rFonts w:cs="Times New Roman"/>
          <w:color w:val="000000" w:themeColor="text1"/>
          <w14:textFill>
            <w14:solidFill>
              <w14:schemeClr w14:val="tx1"/>
            </w14:solidFill>
          </w14:textFill>
        </w:rPr>
        <w:t>重点在和林格尔、土默特左旗、托克托县，以赛罕区、清水河县和</w:t>
      </w:r>
      <w:r>
        <w:rPr>
          <w:rFonts w:hint="eastAsia" w:cs="Times New Roman"/>
          <w:color w:val="000000" w:themeColor="text1"/>
          <w14:textFill>
            <w14:solidFill>
              <w14:schemeClr w14:val="tx1"/>
            </w14:solidFill>
          </w14:textFill>
        </w:rPr>
        <w:t>武川县为补充，建设高标准奶牛养殖基地</w:t>
      </w:r>
      <w:r>
        <w:rPr>
          <w:rFonts w:cs="Times New Roman"/>
          <w:color w:val="000000" w:themeColor="text1"/>
          <w14:textFill>
            <w14:solidFill>
              <w14:schemeClr w14:val="tx1"/>
            </w14:solidFill>
          </w14:textFill>
        </w:rPr>
        <w:t>30</w:t>
      </w:r>
      <w:r>
        <w:rPr>
          <w:rFonts w:hint="eastAsia" w:cs="Times New Roman"/>
          <w:color w:val="000000" w:themeColor="text1"/>
          <w14:textFill>
            <w14:solidFill>
              <w14:schemeClr w14:val="tx1"/>
            </w14:solidFill>
          </w14:textFill>
        </w:rPr>
        <w:t>处，扩大奶牛养殖规模。在和林格尔和清水河县，鼓励发展奶山羊养殖，提升奶源供应保障能力，丰富奶源结构。</w:t>
      </w:r>
    </w:p>
    <w:p>
      <w:pPr>
        <w:ind w:firstLine="562"/>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——乳制品加工物流企业。</w:t>
      </w:r>
      <w:r>
        <w:rPr>
          <w:rFonts w:cs="Times New Roman"/>
          <w:color w:val="000000" w:themeColor="text1"/>
          <w14:textFill>
            <w14:solidFill>
              <w14:schemeClr w14:val="tx1"/>
            </w14:solidFill>
          </w14:textFill>
        </w:rPr>
        <w:t>重点在和林格尔县、土默特左旗和托克托县，依托</w:t>
      </w:r>
      <w:r>
        <w:rPr>
          <w:rFonts w:hint="eastAsia"/>
          <w:color w:val="000000" w:themeColor="text1"/>
          <w14:textFill>
            <w14:solidFill>
              <w14:schemeClr w14:val="tx1"/>
            </w14:solidFill>
          </w14:textFill>
        </w:rPr>
        <w:t>伊利和蒙牛</w:t>
      </w:r>
      <w:r>
        <w:rPr>
          <w:rFonts w:cs="Times New Roman"/>
          <w:color w:val="000000" w:themeColor="text1"/>
          <w14:textFill>
            <w14:solidFill>
              <w14:schemeClr w14:val="tx1"/>
            </w14:solidFill>
          </w14:textFill>
        </w:rPr>
        <w:t>产业园区建设，大力发展奶制品加工业，配套完善上下游产业，打造奶业全产业链集聚区。在</w:t>
      </w:r>
      <w:r>
        <w:rPr>
          <w:rFonts w:hint="eastAsia" w:cs="Times New Roman"/>
          <w:color w:val="000000" w:themeColor="text1"/>
          <w14:textFill>
            <w14:solidFill>
              <w14:schemeClr w14:val="tx1"/>
            </w14:solidFill>
          </w14:textFill>
        </w:rPr>
        <w:t>全市</w:t>
      </w:r>
      <w:r>
        <w:rPr>
          <w:rFonts w:cs="Times New Roman"/>
          <w:color w:val="000000" w:themeColor="text1"/>
          <w14:textFill>
            <w14:solidFill>
              <w14:schemeClr w14:val="tx1"/>
            </w14:solidFill>
          </w14:textFill>
        </w:rPr>
        <w:t>支持发展民族奶制品加工企业10家以上。</w:t>
      </w:r>
    </w:p>
    <w:p>
      <w:pPr>
        <w:ind w:firstLine="56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——养殖废弃物处理设施布局。</w:t>
      </w:r>
      <w:r>
        <w:rPr>
          <w:rFonts w:cs="Times New Roman"/>
          <w:color w:val="000000" w:themeColor="text1"/>
          <w14:textFill>
            <w14:solidFill>
              <w14:schemeClr w14:val="tx1"/>
            </w14:solidFill>
          </w14:textFill>
        </w:rPr>
        <w:t>在土默特左旗、和林格尔县、赛罕区等养殖量大，有条件的旗县区建设病死</w:t>
      </w:r>
      <w:r>
        <w:rPr>
          <w:rFonts w:hint="eastAsia"/>
          <w:color w:val="000000" w:themeColor="text1"/>
          <w14:textFill>
            <w14:solidFill>
              <w14:schemeClr w14:val="tx1"/>
            </w14:solidFill>
          </w14:textFill>
        </w:rPr>
        <w:t>动物无害化</w:t>
      </w:r>
      <w:r>
        <w:rPr>
          <w:rFonts w:cs="Times New Roman"/>
          <w:color w:val="000000" w:themeColor="text1"/>
          <w14:textFill>
            <w14:solidFill>
              <w14:schemeClr w14:val="tx1"/>
            </w14:solidFill>
          </w14:textFill>
        </w:rPr>
        <w:t>处理中心，规模养殖场粪污资源化利用设施实现全覆盖。</w:t>
      </w:r>
    </w:p>
    <w:p>
      <w:pPr>
        <w:ind w:firstLine="560"/>
        <w:rPr>
          <w:rFonts w:cs="Times New Roman"/>
          <w:color w:val="000000" w:themeColor="text1"/>
          <w14:textFill>
            <w14:solidFill>
              <w14:schemeClr w14:val="tx1"/>
            </w14:solidFill>
          </w14:textFill>
        </w:rPr>
      </w:pPr>
    </w:p>
    <w:p>
      <w:pPr>
        <w:ind w:firstLine="560"/>
        <w:rPr>
          <w:rFonts w:cs="Times New Roman"/>
          <w:b/>
          <w:bCs/>
          <w:color w:val="000000" w:themeColor="text1"/>
          <w:sz w:val="36"/>
          <w:szCs w:val="32"/>
          <w14:textFill>
            <w14:solidFill>
              <w14:schemeClr w14:val="tx1"/>
            </w14:solidFill>
          </w14:textFill>
        </w:rPr>
      </w:pPr>
      <w:r>
        <w:rPr>
          <w:color w:val="000000" w:themeColor="text1"/>
          <w14:textFill>
            <w14:solidFill>
              <w14:schemeClr w14:val="tx1"/>
            </w14:solidFill>
          </w14:textFill>
        </w:rPr>
        <w:br w:type="page"/>
      </w:r>
    </w:p>
    <w:p>
      <w:pPr>
        <w:pStyle w:val="2"/>
        <w:rPr>
          <w:rStyle w:val="37"/>
          <w:b/>
          <w:bCs/>
          <w:color w:val="000000" w:themeColor="text1"/>
          <w14:textFill>
            <w14:solidFill>
              <w14:schemeClr w14:val="tx1"/>
            </w14:solidFill>
          </w14:textFill>
        </w:rPr>
      </w:pPr>
      <w:bookmarkStart w:id="23" w:name="_Toc80215047"/>
      <w:r>
        <w:rPr>
          <w:rStyle w:val="37"/>
          <w:b/>
          <w:bCs/>
          <w:color w:val="000000" w:themeColor="text1"/>
          <w14:textFill>
            <w14:solidFill>
              <w14:schemeClr w14:val="tx1"/>
            </w14:solidFill>
          </w14:textFill>
        </w:rPr>
        <w:t>加强优势奶源基地建设</w:t>
      </w:r>
      <w:bookmarkEnd w:id="23"/>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以农牧业供给侧结构性改革为主线，坚持生态优先、绿色发展，立足呼和浩特奶业发展需求，以发达国家牧场建设为借鉴，按照“品种良种化、养殖设施化、生产规范化、防疫制度化、粪污处理无害化、监管常态化”建设要求，深入推进奶牛智能化基地提升，按照为养而种、种养结合思路，结合高标准农田建设，合理布局饲草料种植基地，建设高标准饲草料种植基地，打造一批国家级优质奶源示范基地。</w:t>
      </w:r>
    </w:p>
    <w:p>
      <w:pPr>
        <w:pStyle w:val="3"/>
        <w:ind w:firstLine="643"/>
        <w:rPr>
          <w:color w:val="000000" w:themeColor="text1"/>
          <w14:textFill>
            <w14:solidFill>
              <w14:schemeClr w14:val="tx1"/>
            </w14:solidFill>
          </w14:textFill>
        </w:rPr>
      </w:pPr>
      <w:bookmarkStart w:id="24" w:name="_Toc51510934"/>
      <w:bookmarkStart w:id="25" w:name="_Toc80215048"/>
      <w:bookmarkStart w:id="26" w:name="_Toc49453189"/>
      <w:r>
        <w:rPr>
          <w:rFonts w:hint="eastAsia"/>
          <w:color w:val="000000" w:themeColor="text1"/>
          <w14:textFill>
            <w14:solidFill>
              <w14:schemeClr w14:val="tx1"/>
            </w14:solidFill>
          </w14:textFill>
        </w:rPr>
        <w:t>建设国家级现代种源基地</w:t>
      </w:r>
      <w:bookmarkEnd w:id="24"/>
      <w:bookmarkEnd w:id="25"/>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建立全市奶牛良种繁育体系，加快核心育种场建设，支持种公牛站与奶牛扩繁场开展联合育种，支持主产旗县区推广使用优质性控冻精和胚胎，加速奶牛扩群增量，培育高产良种奶牛。引进优质奶牛胚胎，优化母牛遗传品质，形成具有自主知识产权的良种繁育核心技术成果体系，大力推进奶牛性控冻精技术成果的转化应用，培育国家级</w:t>
      </w:r>
      <w:r>
        <w:rPr>
          <w:rFonts w:ascii="Arial" w:hAnsi="Arial" w:cs="Arial"/>
          <w:color w:val="000000" w:themeColor="text1"/>
          <w:shd w:val="clear" w:color="auto" w:fill="FFFFFF"/>
          <w14:textFill>
            <w14:solidFill>
              <w14:schemeClr w14:val="tx1"/>
            </w14:solidFill>
          </w14:textFill>
        </w:rPr>
        <w:t>性控冻精、胚胎</w:t>
      </w:r>
      <w:r>
        <w:rPr>
          <w:rFonts w:hint="eastAsia" w:ascii="Arial" w:hAnsi="Arial" w:cs="Arial"/>
          <w:color w:val="000000" w:themeColor="text1"/>
          <w:shd w:val="clear" w:color="auto" w:fill="FFFFFF"/>
          <w14:textFill>
            <w14:solidFill>
              <w14:schemeClr w14:val="tx1"/>
            </w14:solidFill>
          </w14:textFill>
        </w:rPr>
        <w:t>及</w:t>
      </w:r>
      <w:r>
        <w:rPr>
          <w:rFonts w:ascii="Arial" w:hAnsi="Arial" w:cs="Arial"/>
          <w:color w:val="000000" w:themeColor="text1"/>
          <w:shd w:val="clear" w:color="auto" w:fill="FFFFFF"/>
          <w14:textFill>
            <w14:solidFill>
              <w14:schemeClr w14:val="tx1"/>
            </w14:solidFill>
          </w14:textFill>
        </w:rPr>
        <w:t>种畜</w:t>
      </w:r>
      <w:r>
        <w:rPr>
          <w:rFonts w:hint="eastAsia" w:ascii="Arial" w:hAnsi="Arial" w:cs="Arial"/>
          <w:color w:val="000000" w:themeColor="text1"/>
          <w:shd w:val="clear" w:color="auto" w:fill="FFFFFF"/>
          <w14:textFill>
            <w14:solidFill>
              <w14:schemeClr w14:val="tx1"/>
            </w14:solidFill>
          </w14:textFill>
        </w:rPr>
        <w:t>繁育和</w:t>
      </w:r>
      <w:r>
        <w:rPr>
          <w:rFonts w:hint="eastAsia"/>
          <w:color w:val="000000" w:themeColor="text1"/>
          <w14:textFill>
            <w14:solidFill>
              <w14:schemeClr w14:val="tx1"/>
            </w14:solidFill>
          </w14:textFill>
        </w:rPr>
        <w:t>良种奶牛</w:t>
      </w:r>
      <w:r>
        <w:rPr>
          <w:rFonts w:hint="eastAsia" w:ascii="Arial" w:hAnsi="Arial" w:cs="Arial"/>
          <w:color w:val="000000" w:themeColor="text1"/>
          <w:shd w:val="clear" w:color="auto" w:fill="FFFFFF"/>
          <w14:textFill>
            <w14:solidFill>
              <w14:schemeClr w14:val="tx1"/>
            </w14:solidFill>
          </w14:textFill>
        </w:rPr>
        <w:t>输出基地，</w:t>
      </w:r>
      <w:r>
        <w:rPr>
          <w:rFonts w:hint="eastAsia"/>
          <w:color w:val="000000" w:themeColor="text1"/>
          <w14:textFill>
            <w14:solidFill>
              <w14:schemeClr w14:val="tx1"/>
            </w14:solidFill>
          </w14:textFill>
        </w:rPr>
        <w:t>加强奶山羊良种繁育，</w:t>
      </w:r>
      <w:r>
        <w:rPr>
          <w:rFonts w:ascii="Arial" w:hAnsi="Arial" w:cs="Arial"/>
          <w:color w:val="000000" w:themeColor="text1"/>
          <w:shd w:val="clear" w:color="auto" w:fill="FFFFFF"/>
          <w14:textFill>
            <w14:solidFill>
              <w14:schemeClr w14:val="tx1"/>
            </w14:solidFill>
          </w14:textFill>
        </w:rPr>
        <w:t>打造具有国际竞争力的世界级</w:t>
      </w:r>
      <w:r>
        <w:rPr>
          <w:rFonts w:hint="eastAsia" w:ascii="Arial" w:hAnsi="Arial" w:cs="Arial"/>
          <w:color w:val="000000" w:themeColor="text1"/>
          <w:shd w:val="clear" w:color="auto" w:fill="FFFFFF"/>
          <w14:textFill>
            <w14:solidFill>
              <w14:schemeClr w14:val="tx1"/>
            </w14:solidFill>
          </w14:textFill>
        </w:rPr>
        <w:t>“奶业</w:t>
      </w:r>
      <w:r>
        <w:rPr>
          <w:rFonts w:ascii="Arial" w:hAnsi="Arial" w:cs="Arial"/>
          <w:color w:val="000000" w:themeColor="text1"/>
          <w:shd w:val="clear" w:color="auto" w:fill="FFFFFF"/>
          <w14:textFill>
            <w14:solidFill>
              <w14:schemeClr w14:val="tx1"/>
            </w14:solidFill>
          </w14:textFill>
        </w:rPr>
        <w:t>摇篮</w:t>
      </w:r>
      <w:r>
        <w:rPr>
          <w:rFonts w:hint="eastAsia" w:ascii="Arial" w:hAnsi="Arial" w:cs="Arial"/>
          <w:color w:val="000000" w:themeColor="text1"/>
          <w:shd w:val="clear" w:color="auto" w:fill="FFFFFF"/>
          <w14:textFill>
            <w14:solidFill>
              <w14:schemeClr w14:val="tx1"/>
            </w14:solidFill>
          </w14:textFill>
        </w:rPr>
        <w:t>”</w:t>
      </w:r>
      <w:r>
        <w:rPr>
          <w:rFonts w:ascii="Arial" w:hAnsi="Arial" w:cs="Arial"/>
          <w:color w:val="000000" w:themeColor="text1"/>
          <w:shd w:val="clear" w:color="auto" w:fill="FFFFFF"/>
          <w14:textFill>
            <w14:solidFill>
              <w14:schemeClr w14:val="tx1"/>
            </w14:solidFill>
          </w14:textFill>
        </w:rPr>
        <w:t>。</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加强育种基地建设</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依托赛科星生态技术有限公司开展奶牛及奶山羊等奶畜良种登记、生产性能测定和种牛遗传评估，推进数字化动态监测与信息化监督管理，挖掘优良特性和优异基因，保护优良品种。依托内蒙古大学、中国农业大学、中国科学院动物研究所等科研院所以及全国奶牛育种联盟等平台，以伊利集团国家乳业创新中心</w:t>
      </w:r>
      <w:r>
        <w:rPr>
          <w:rFonts w:hint="eastAsia" w:ascii="仿宋_GB2312"/>
          <w:color w:val="000000" w:themeColor="text1"/>
          <w14:textFill>
            <w14:solidFill>
              <w14:schemeClr w14:val="tx1"/>
            </w14:solidFill>
          </w14:textFill>
        </w:rPr>
        <w:t>和种牛场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核心育种场为主体，建设国家级奶牛核心育种场，积极参与全国种子公牛和母牛育种体系。完善种牛质量评价制度，构建现代奶牛遗传改良技术体系和组织管理体系</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打造优质高产奶牛育种核心群。到2</w:t>
      </w:r>
      <w:r>
        <w:rPr>
          <w:color w:val="000000" w:themeColor="text1"/>
          <w14:textFill>
            <w14:solidFill>
              <w14:schemeClr w14:val="tx1"/>
            </w14:solidFill>
          </w14:textFill>
        </w:rPr>
        <w:t>025年</w:t>
      </w:r>
      <w:r>
        <w:rPr>
          <w:rFonts w:hint="eastAsia"/>
          <w:color w:val="000000" w:themeColor="text1"/>
          <w14:textFill>
            <w14:solidFill>
              <w14:schemeClr w14:val="tx1"/>
            </w14:solidFill>
          </w14:textFill>
        </w:rPr>
        <w:t>，培育优质种公牛1</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头，其中，全国排名前100名的后备种公牛30头，国际排名前100的2头。性控冻精供应能力达到2</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万支，优良胚胎供应能力达到5万枚。</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健全良种繁育体系</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以龙头企业为主体，积极推进奶牛自繁自育，开展种公牛站与奶牛扩繁场联合育种，加快推进种公牛站、良种奶牛扩繁场和高产奶牛核心群（场）建设。引进高指数种用胚胎与品种，支持企业及各级保种场科学、合理引入优良胚胎和品种，利用国际尖端胚胎育种技术，加快国内种牛配种繁殖，优化种牛基因和奶牛群体结构，推广繁育性控技术，提高奶牛良种覆盖率和单产水平。依托国家级奶牛核心育种场，打造国际一流育种企业，</w:t>
      </w:r>
      <w:r>
        <w:rPr>
          <w:rFonts w:hint="eastAsia" w:ascii="仿宋_GB2312"/>
          <w:color w:val="000000" w:themeColor="text1"/>
          <w14:textFill>
            <w14:solidFill>
              <w14:schemeClr w14:val="tx1"/>
            </w14:solidFill>
          </w14:textFill>
        </w:rPr>
        <w:t>组建奶牛良种繁育技术服务团队，开展超数排卵—胚胎移植、活体采卵—体外受精等技术推广应用。</w:t>
      </w:r>
      <w:r>
        <w:rPr>
          <w:rFonts w:hint="eastAsia"/>
          <w:color w:val="000000" w:themeColor="text1"/>
          <w14:textFill>
            <w14:solidFill>
              <w14:schemeClr w14:val="tx1"/>
            </w14:solidFill>
          </w14:textFill>
        </w:rPr>
        <w:t>到2025年培育出单产10吨以上奶牛核心群数量达到5万头以上，为实现品质提升、良种繁育、提质增效的发展目标夯实基础。</w:t>
      </w:r>
    </w:p>
    <w:p>
      <w:pPr>
        <w:pStyle w:val="4"/>
        <w:ind w:firstLine="562"/>
        <w:rPr>
          <w:rFonts w:ascii="仿宋_GB2312"/>
          <w:color w:val="000000" w:themeColor="text1"/>
          <w14:textFill>
            <w14:solidFill>
              <w14:schemeClr w14:val="tx1"/>
            </w14:solidFill>
          </w14:textFill>
        </w:rPr>
      </w:pPr>
      <w:r>
        <w:rPr>
          <w:rFonts w:hint="eastAsia"/>
          <w:color w:val="000000" w:themeColor="text1"/>
          <w14:textFill>
            <w14:solidFill>
              <w14:schemeClr w14:val="tx1"/>
            </w14:solidFill>
          </w14:textFill>
        </w:rPr>
        <w:t>全面推广性能检测</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建立由企业牵头、政府监管的奶牛育种养殖大数据平台，扩大参与生产性能测定、全基因组检测奶牛头数，形成能为牧场提供一体化服务的检测中心，实施规范、系统的个体生产性能测定（DHI），获得准确、完整、可靠的生产性能数据记录，通过个体遗传评定和体型鉴定进行良种登记、选种选配等工作。开展产奶量、乳脂率、乳蛋白率、线性体型外貌评分数据分析应用，结合胚胎移植技术和精细化的选种选配服务，重点在国家级核心育种场馆探索推广全基因组检测技术，对后备种牛进行评估和选育，力争把呼和浩特市建设成为国家奶牛繁育基地</w:t>
      </w:r>
      <w:bookmarkStart w:id="27" w:name="_Toc51510935"/>
      <w:r>
        <w:rPr>
          <w:rFonts w:hint="eastAsia"/>
          <w:color w:val="000000" w:themeColor="text1"/>
          <w14:textFill>
            <w14:solidFill>
              <w14:schemeClr w14:val="tx1"/>
            </w14:solidFill>
          </w14:textFill>
        </w:rPr>
        <w:t>。</w:t>
      </w:r>
    </w:p>
    <w:p>
      <w:pPr>
        <w:pStyle w:val="3"/>
        <w:ind w:firstLine="643"/>
        <w:rPr>
          <w:color w:val="000000" w:themeColor="text1"/>
          <w14:textFill>
            <w14:solidFill>
              <w14:schemeClr w14:val="tx1"/>
            </w14:solidFill>
          </w14:textFill>
        </w:rPr>
      </w:pPr>
      <w:bookmarkStart w:id="28" w:name="_Toc80215049"/>
      <w:r>
        <w:rPr>
          <w:rFonts w:hint="eastAsia"/>
          <w:color w:val="000000" w:themeColor="text1"/>
          <w14:textFill>
            <w14:solidFill>
              <w14:schemeClr w14:val="tx1"/>
            </w14:solidFill>
          </w14:textFill>
        </w:rPr>
        <w:t>增强奶源供应能力</w:t>
      </w:r>
      <w:bookmarkEnd w:id="27"/>
      <w:bookmarkEnd w:id="28"/>
    </w:p>
    <w:p>
      <w:pPr>
        <w:ind w:firstLine="56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实施标准化规模养殖提升工程，建立数字化管理技术体系，推行安全健康饲养方式，培养高素质的养殖队伍，提高标准化规模养殖场科学饲养水平，综合提升奶牛标准养殖能力，强化区域协同，提升奶源供应保障能力。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年，新建设3000头以上规模高产、现代化奶牛养殖牧场30个，改建扩容20座。</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加强标准化奶牛场建设</w:t>
      </w:r>
    </w:p>
    <w:p>
      <w:pPr>
        <w:ind w:firstLine="560"/>
        <w:rPr>
          <w:iCs/>
          <w:color w:val="000000" w:themeColor="text1"/>
          <w14:textFill>
            <w14:solidFill>
              <w14:schemeClr w14:val="tx1"/>
            </w14:solidFill>
          </w14:textFill>
        </w:rPr>
      </w:pPr>
      <w:r>
        <w:rPr>
          <w:rFonts w:hint="eastAsia"/>
          <w:color w:val="000000" w:themeColor="text1"/>
          <w14:textFill>
            <w14:solidFill>
              <w14:schemeClr w14:val="tx1"/>
            </w14:solidFill>
          </w14:textFill>
        </w:rPr>
        <w:t>支持建设一批标准化奶牛养殖场，</w:t>
      </w:r>
      <w:r>
        <w:rPr>
          <w:color w:val="000000" w:themeColor="text1"/>
          <w14:textFill>
            <w14:solidFill>
              <w14:schemeClr w14:val="tx1"/>
            </w14:solidFill>
          </w14:textFill>
        </w:rPr>
        <w:t>推进奶牛场改造扩容提升</w:t>
      </w:r>
      <w:r>
        <w:rPr>
          <w:rFonts w:hint="eastAsia"/>
          <w:iCs/>
          <w:color w:val="000000" w:themeColor="text1"/>
          <w14:textFill>
            <w14:solidFill>
              <w14:schemeClr w14:val="tx1"/>
            </w14:solidFill>
          </w14:textFill>
        </w:rPr>
        <w:t>，重点建设标准化圈舍、粪污处理、防疫、挤奶设施等，引导适度规模养殖。</w:t>
      </w:r>
      <w:r>
        <w:rPr>
          <w:rFonts w:hint="eastAsia"/>
          <w:color w:val="000000" w:themeColor="text1"/>
          <w14:textFill>
            <w14:solidFill>
              <w14:schemeClr w14:val="tx1"/>
            </w14:solidFill>
          </w14:textFill>
        </w:rPr>
        <w:t>以</w:t>
      </w:r>
      <w:r>
        <w:rPr>
          <w:color w:val="000000" w:themeColor="text1"/>
          <w14:textFill>
            <w14:solidFill>
              <w14:schemeClr w14:val="tx1"/>
            </w14:solidFill>
          </w14:textFill>
        </w:rPr>
        <w:t>伊利、蒙牛与优然牧业等乳品企业自建</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合作牧场</w:t>
      </w:r>
      <w:r>
        <w:rPr>
          <w:rFonts w:hint="eastAsia"/>
          <w:color w:val="000000" w:themeColor="text1"/>
          <w14:textFill>
            <w14:solidFill>
              <w14:schemeClr w14:val="tx1"/>
            </w14:solidFill>
          </w14:textFill>
        </w:rPr>
        <w:t>为重点，</w:t>
      </w:r>
      <w:r>
        <w:rPr>
          <w:iCs/>
          <w:color w:val="000000" w:themeColor="text1"/>
          <w14:textFill>
            <w14:solidFill>
              <w14:schemeClr w14:val="tx1"/>
            </w14:solidFill>
          </w14:textFill>
        </w:rPr>
        <w:t>开展规模奶牛场标准化示范创建，</w:t>
      </w:r>
      <w:r>
        <w:rPr>
          <w:rFonts w:hint="eastAsia"/>
          <w:iCs/>
          <w:color w:val="000000" w:themeColor="text1"/>
          <w14:textFill>
            <w14:solidFill>
              <w14:schemeClr w14:val="tx1"/>
            </w14:solidFill>
          </w14:textFill>
        </w:rPr>
        <w:t>引领带动生产技术水平提高</w:t>
      </w:r>
      <w:r>
        <w:rPr>
          <w:rFonts w:hint="eastAsia"/>
          <w:color w:val="000000" w:themeColor="text1"/>
          <w14:textFill>
            <w14:solidFill>
              <w14:schemeClr w14:val="tx1"/>
            </w14:solidFill>
          </w14:textFill>
        </w:rPr>
        <w:t>。</w:t>
      </w:r>
      <w:r>
        <w:rPr>
          <w:iCs/>
          <w:color w:val="000000" w:themeColor="text1"/>
          <w14:textFill>
            <w14:solidFill>
              <w14:schemeClr w14:val="tx1"/>
            </w14:solidFill>
          </w14:textFill>
        </w:rPr>
        <w:t>大力支持中小型</w:t>
      </w:r>
      <w:r>
        <w:rPr>
          <w:color w:val="000000" w:themeColor="text1"/>
          <w14:textFill>
            <w14:solidFill>
              <w14:schemeClr w14:val="tx1"/>
            </w14:solidFill>
          </w14:textFill>
        </w:rPr>
        <w:t>奶牛养殖场规模化经营，</w:t>
      </w:r>
      <w:r>
        <w:rPr>
          <w:iCs/>
          <w:color w:val="000000" w:themeColor="text1"/>
          <w14:textFill>
            <w14:solidFill>
              <w14:schemeClr w14:val="tx1"/>
            </w14:solidFill>
          </w14:textFill>
        </w:rPr>
        <w:t>改造升级圈舍设施</w:t>
      </w:r>
      <w:r>
        <w:rPr>
          <w:rFonts w:hint="eastAsia"/>
          <w:iCs/>
          <w:color w:val="000000" w:themeColor="text1"/>
          <w14:textFill>
            <w14:solidFill>
              <w14:schemeClr w14:val="tx1"/>
            </w14:solidFill>
          </w14:textFill>
        </w:rPr>
        <w:t>，</w:t>
      </w:r>
      <w:r>
        <w:rPr>
          <w:color w:val="000000" w:themeColor="text1"/>
          <w14:textFill>
            <w14:solidFill>
              <w14:schemeClr w14:val="tx1"/>
            </w14:solidFill>
          </w14:textFill>
        </w:rPr>
        <w:t>提高奶牛牧场机械化水平，</w:t>
      </w:r>
      <w:r>
        <w:rPr>
          <w:rFonts w:hint="eastAsia"/>
          <w:iCs/>
          <w:color w:val="000000" w:themeColor="text1"/>
          <w14:textFill>
            <w14:solidFill>
              <w14:schemeClr w14:val="tx1"/>
            </w14:solidFill>
          </w14:textFill>
        </w:rPr>
        <w:t>提升奶牛饲养技术水平。</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加快推进数字化管理</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支持养殖企业、乳品企业自建、合作牧场开展“数字牧场”建设，对繁育、饲喂、挤奶、保健、防治、运输、粪污处理等关键环节进行数字化管理，实现牧场养殖过程可视、生产过程可控、质量可追溯。鼓励</w:t>
      </w:r>
      <w:r>
        <w:rPr>
          <w:color w:val="000000" w:themeColor="text1"/>
          <w14:textFill>
            <w14:solidFill>
              <w14:schemeClr w14:val="tx1"/>
            </w14:solidFill>
          </w14:textFill>
        </w:rPr>
        <w:t>支持企业及牧场应用全混合日粮（TMR）配制、生鲜乳质量检测、粪污资源化利用等智能化设施设备，建立牧场信息化系统，主要包括牧场管理系统、视频监控系统、发情监测系统、TMR饲喂系统等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搭建云智能奶牛育种养殖大数据平台，</w:t>
      </w:r>
      <w:r>
        <w:rPr>
          <w:rFonts w:hint="eastAsia"/>
          <w:color w:val="000000" w:themeColor="text1"/>
          <w14:textFill>
            <w14:solidFill>
              <w14:schemeClr w14:val="tx1"/>
            </w14:solidFill>
          </w14:textFill>
        </w:rPr>
        <w:t>推广</w:t>
      </w:r>
      <w:r>
        <w:rPr>
          <w:color w:val="000000" w:themeColor="text1"/>
          <w14:textFill>
            <w14:solidFill>
              <w14:schemeClr w14:val="tx1"/>
            </w14:solidFill>
          </w14:textFill>
        </w:rPr>
        <w:t>现代化牧场管理工具</w:t>
      </w:r>
      <w:r>
        <w:rPr>
          <w:rFonts w:hint="eastAsia"/>
          <w:color w:val="000000" w:themeColor="text1"/>
          <w14:textFill>
            <w14:solidFill>
              <w14:schemeClr w14:val="tx1"/>
            </w14:solidFill>
          </w14:textFill>
        </w:rPr>
        <w:t>采集</w:t>
      </w:r>
      <w:r>
        <w:rPr>
          <w:color w:val="000000" w:themeColor="text1"/>
          <w14:textFill>
            <w14:solidFill>
              <w14:schemeClr w14:val="tx1"/>
            </w14:solidFill>
          </w14:textFill>
        </w:rPr>
        <w:t>数据，为牧场产生智慧化的预测与指导</w:t>
      </w:r>
      <w:r>
        <w:rPr>
          <w:rFonts w:hint="eastAsia"/>
          <w:color w:val="000000" w:themeColor="text1"/>
          <w14:textFill>
            <w14:solidFill>
              <w14:schemeClr w14:val="tx1"/>
            </w14:solidFill>
          </w14:textFill>
        </w:rPr>
        <w:t>，打造1-2座智慧型牧场样板和标杆，引领全市甚至全自治区、全国智慧型牧场建设。</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支持奶山羊养殖基地建设</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依奶羊龙头企业，推动奶羊规模化养殖，按照集约化、现代化、规模化、一体化的原则，配备自动喂料系统、全混合（T</w:t>
      </w:r>
      <w:r>
        <w:rPr>
          <w:color w:val="000000" w:themeColor="text1"/>
          <w14:textFill>
            <w14:solidFill>
              <w14:schemeClr w14:val="tx1"/>
            </w14:solidFill>
          </w14:textFill>
        </w:rPr>
        <w:t>MR</w:t>
      </w:r>
      <w:r>
        <w:rPr>
          <w:rFonts w:hint="eastAsia"/>
          <w:color w:val="000000" w:themeColor="text1"/>
          <w14:textFill>
            <w14:solidFill>
              <w14:schemeClr w14:val="tx1"/>
            </w14:solidFill>
          </w14:textFill>
        </w:rPr>
        <w:t>）日粮配制与饲喂、排泄物清运与综合利用、环境控制等机械设备，提高机械化自动化水平，推广精准饲喂、环境智能调控、疾病自动诊断等物联网设备和技术，建设一批智慧奶羊养殖示范基地。</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加强奶源供应区域协同</w:t>
      </w:r>
    </w:p>
    <w:p>
      <w:pPr>
        <w:ind w:firstLine="56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以呼包鄂乌协同发展为契机，加强区域奶业融合发展，建立市级奶源基地联席会议制度，</w:t>
      </w:r>
      <w:r>
        <w:rPr>
          <w:rFonts w:hint="eastAsia"/>
          <w:color w:val="000000" w:themeColor="text1"/>
          <w14:textFill>
            <w14:solidFill>
              <w14:schemeClr w14:val="tx1"/>
            </w14:solidFill>
          </w14:textFill>
        </w:rPr>
        <w:t>依托伊利、蒙牛等企业，</w:t>
      </w:r>
      <w:r>
        <w:rPr>
          <w:rFonts w:hint="eastAsia"/>
          <w:color w:val="000000" w:themeColor="text1"/>
          <w:shd w:val="clear" w:color="auto" w:fill="FFFFFF"/>
          <w14:textFill>
            <w14:solidFill>
              <w14:schemeClr w14:val="tx1"/>
            </w14:solidFill>
          </w14:textFill>
        </w:rPr>
        <w:t>因地制宜共同推进奶源基地建设，推动合作</w:t>
      </w:r>
      <w:r>
        <w:rPr>
          <w:rFonts w:hint="eastAsia"/>
          <w:color w:val="000000" w:themeColor="text1"/>
          <w:shd w:val="clear" w:color="auto" w:fill="FFFFFF"/>
          <w:lang w:eastAsia="zh-CN"/>
          <w14:textFill>
            <w14:solidFill>
              <w14:schemeClr w14:val="tx1"/>
            </w14:solidFill>
          </w14:textFill>
        </w:rPr>
        <w:t>周边市县</w:t>
      </w:r>
      <w:r>
        <w:rPr>
          <w:rFonts w:hint="eastAsia"/>
          <w:color w:val="000000" w:themeColor="text1"/>
          <w:shd w:val="clear" w:color="auto" w:fill="FFFFFF"/>
          <w14:textFill>
            <w14:solidFill>
              <w14:schemeClr w14:val="tx1"/>
            </w14:solidFill>
          </w14:textFill>
        </w:rPr>
        <w:t>新建一批奶源基地，</w:t>
      </w:r>
      <w:r>
        <w:rPr>
          <w:rFonts w:hint="eastAsia"/>
          <w:color w:val="000000" w:themeColor="text1"/>
          <w:shd w:val="clear" w:color="auto" w:fill="FFFFFF"/>
          <w:lang w:eastAsia="zh-CN"/>
          <w14:textFill>
            <w14:solidFill>
              <w14:schemeClr w14:val="tx1"/>
            </w14:solidFill>
          </w14:textFill>
        </w:rPr>
        <w:t>争取到</w:t>
      </w:r>
      <w:r>
        <w:rPr>
          <w:rFonts w:hint="eastAsia"/>
          <w:color w:val="000000" w:themeColor="text1"/>
          <w:shd w:val="clear" w:color="auto" w:fill="FFFFFF"/>
          <w:lang w:val="en-US" w:eastAsia="zh-CN"/>
          <w14:textFill>
            <w14:solidFill>
              <w14:schemeClr w14:val="tx1"/>
            </w14:solidFill>
          </w14:textFill>
        </w:rPr>
        <w:t>2025年，自治区境内呼和浩特市、</w:t>
      </w:r>
      <w:r>
        <w:rPr>
          <w:rFonts w:hint="eastAsia"/>
          <w:color w:val="000000" w:themeColor="text1"/>
          <w:shd w:val="clear" w:color="auto" w:fill="FFFFFF"/>
          <w:lang w:eastAsia="zh-CN"/>
          <w14:textFill>
            <w14:solidFill>
              <w14:schemeClr w14:val="tx1"/>
            </w14:solidFill>
          </w14:textFill>
        </w:rPr>
        <w:t>包头市、鄂尔多斯市、乌兰察布市、巴彦淖尔市</w:t>
      </w:r>
      <w:r>
        <w:rPr>
          <w:rFonts w:hint="eastAsia"/>
          <w:color w:val="000000" w:themeColor="text1"/>
          <w:shd w:val="clear" w:color="auto" w:fill="FFFFFF"/>
          <w:lang w:val="en-US" w:eastAsia="zh-CN"/>
          <w14:textFill>
            <w14:solidFill>
              <w14:schemeClr w14:val="tx1"/>
            </w14:solidFill>
          </w14:textFill>
        </w:rPr>
        <w:t>沿黄地区奶牛存栏达到75万头，</w:t>
      </w:r>
      <w:r>
        <w:rPr>
          <w:rFonts w:hint="eastAsia"/>
          <w:color w:val="000000" w:themeColor="text1"/>
          <w:shd w:val="clear" w:color="auto" w:fill="FFFFFF"/>
          <w14:textFill>
            <w14:solidFill>
              <w14:schemeClr w14:val="tx1"/>
            </w14:solidFill>
          </w14:textFill>
        </w:rPr>
        <w:t>提升奶源供应保障水平。</w:t>
      </w:r>
      <w:r>
        <w:rPr>
          <w:rFonts w:hint="eastAsia"/>
          <w:color w:val="000000" w:themeColor="text1"/>
          <w14:textFill>
            <w14:solidFill>
              <w14:schemeClr w14:val="tx1"/>
            </w14:solidFill>
          </w14:textFill>
        </w:rPr>
        <w:t>与各旗县区签订优质饲草基地配套框架协议，协同推进饲草料基地建设，强化饲草供应能力。扶持规模养殖场、奶农合作社自建或联建特色乳品加工企业，构建“奶农</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合作社</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牧场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工厂”新型利益共同体。</w:t>
      </w:r>
      <w:r>
        <w:rPr>
          <w:color w:val="000000" w:themeColor="text1"/>
          <w14:textFill>
            <w14:solidFill>
              <w14:schemeClr w14:val="tx1"/>
            </w14:solidFill>
          </w14:textFill>
        </w:rPr>
        <w:t xml:space="preserve"> </w:t>
      </w:r>
    </w:p>
    <w:p>
      <w:pPr>
        <w:pStyle w:val="3"/>
        <w:ind w:firstLine="643"/>
        <w:rPr>
          <w:color w:val="000000" w:themeColor="text1"/>
          <w14:textFill>
            <w14:solidFill>
              <w14:schemeClr w14:val="tx1"/>
            </w14:solidFill>
          </w14:textFill>
        </w:rPr>
      </w:pPr>
      <w:bookmarkStart w:id="29" w:name="_Toc78735822"/>
      <w:bookmarkEnd w:id="29"/>
      <w:bookmarkStart w:id="30" w:name="_Toc80215050"/>
      <w:bookmarkStart w:id="31" w:name="_Toc51510936"/>
      <w:r>
        <w:rPr>
          <w:rFonts w:hint="eastAsia"/>
          <w:color w:val="000000" w:themeColor="text1"/>
          <w14:textFill>
            <w14:solidFill>
              <w14:schemeClr w14:val="tx1"/>
            </w14:solidFill>
          </w14:textFill>
        </w:rPr>
        <w:t>增强优质饲草料供应水平</w:t>
      </w:r>
      <w:bookmarkEnd w:id="26"/>
      <w:bookmarkEnd w:id="30"/>
      <w:bookmarkEnd w:id="31"/>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实施饲草料保障能力提升工程，筛选培育优质牧草新品种，基于水资源供给能力，结合高标准农田建设项目，合理牧草种植布局，重点发展苜蓿、燕麦草，提升苜蓿种植加工标准化、机械化水平，增强优质牧草供应水平。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年，本土优质苜蓿、燕麦草自给率达到30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，青贮玉米饲料实现完全自给。</w:t>
      </w:r>
    </w:p>
    <w:p>
      <w:pPr>
        <w:pStyle w:val="4"/>
        <w:ind w:firstLine="562"/>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建设现代牧草种业基地</w:t>
      </w:r>
    </w:p>
    <w:p>
      <w:pPr>
        <w:rPr>
          <w:rFonts w:hint="eastAsia" w:eastAsia="宋体"/>
          <w:color w:val="000000" w:themeColor="text1"/>
          <w:lang w:eastAsia="zh-CN"/>
          <w14:textFill>
            <w14:solidFill>
              <w14:schemeClr w14:val="tx1"/>
            </w14:solidFill>
          </w14:textFill>
        </w:rPr>
      </w:pPr>
      <w:r>
        <w:rPr>
          <w:rFonts w:hint="eastAsia"/>
          <w:bCs/>
          <w:color w:val="000000" w:themeColor="text1"/>
          <w14:textFill>
            <w14:solidFill>
              <w14:schemeClr w14:val="tx1"/>
            </w14:solidFill>
          </w14:textFill>
        </w:rPr>
        <w:t>加强饲草种质资源保护，开展苜蓿、燕麦草等良种登记及种质鉴定，挖掘牧草优良特性和优异基因。</w:t>
      </w:r>
      <w:r>
        <w:rPr>
          <w:rFonts w:hint="eastAsia"/>
          <w:color w:val="000000" w:themeColor="text1"/>
          <w14:textFill>
            <w14:solidFill>
              <w14:schemeClr w14:val="tx1"/>
            </w14:solidFill>
          </w14:textFill>
        </w:rPr>
        <w:t>开展新品种引种试验和</w:t>
      </w:r>
      <w:r>
        <w:rPr>
          <w:rFonts w:hint="eastAsia"/>
          <w:bCs/>
          <w:color w:val="000000" w:themeColor="text1"/>
          <w14:textFill>
            <w14:solidFill>
              <w14:schemeClr w14:val="tx1"/>
            </w14:solidFill>
          </w14:textFill>
        </w:rPr>
        <w:t>驯化</w:t>
      </w:r>
      <w:r>
        <w:rPr>
          <w:rFonts w:hint="eastAsia"/>
          <w:color w:val="000000" w:themeColor="text1"/>
          <w14:textFill>
            <w14:solidFill>
              <w14:schemeClr w14:val="tx1"/>
            </w14:solidFill>
          </w14:textFill>
        </w:rPr>
        <w:t>，提高产量和品质，推动优质饲草本地化</w:t>
      </w:r>
      <w:r>
        <w:rPr>
          <w:rFonts w:hint="eastAsia"/>
          <w:color w:val="000000" w:themeColor="text1"/>
          <w:lang w:eastAsia="zh-CN"/>
          <w14:textFill>
            <w14:solidFill>
              <w14:schemeClr w14:val="tx1"/>
            </w14:solidFill>
          </w14:textFill>
        </w:rPr>
        <w:t>，</w:t>
      </w:r>
      <w:r>
        <w:rPr>
          <w:rFonts w:hint="eastAsia"/>
          <w:bCs/>
          <w:color w:val="000000" w:themeColor="text1"/>
          <w14:textFill>
            <w14:solidFill>
              <w14:schemeClr w14:val="tx1"/>
            </w14:solidFill>
          </w14:textFill>
        </w:rPr>
        <w:t>选育推广</w:t>
      </w:r>
      <w:r>
        <w:rPr>
          <w:rFonts w:hint="eastAsia"/>
          <w:color w:val="000000" w:themeColor="text1"/>
          <w14:textFill>
            <w14:solidFill>
              <w14:schemeClr w14:val="tx1"/>
            </w14:solidFill>
          </w14:textFill>
        </w:rPr>
        <w:t>适合呼和浩特生长环境的高产优质品种。完善中国农科院草原研究所、内蒙古蒙草生态环境（集团）有限公司的牧草种质资源库和资源圃建设，种质材料保存量达到5万份以上</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推进良种繁育基地建设，牧草种子良种繁育田达到3万亩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依托</w:t>
      </w:r>
      <w:r>
        <w:rPr>
          <w:rFonts w:hint="eastAsia"/>
          <w:color w:val="000000" w:themeColor="text1"/>
          <w:lang w:eastAsia="zh-CN"/>
          <w14:textFill>
            <w14:solidFill>
              <w14:schemeClr w14:val="tx1"/>
            </w14:solidFill>
          </w14:textFill>
        </w:rPr>
        <w:t>牧草专业化</w:t>
      </w:r>
      <w:r>
        <w:rPr>
          <w:rFonts w:hint="eastAsia"/>
          <w:color w:val="000000" w:themeColor="text1"/>
          <w14:textFill>
            <w14:solidFill>
              <w14:schemeClr w14:val="tx1"/>
            </w14:solidFill>
          </w14:textFill>
        </w:rPr>
        <w:t>公司打造牧草交易数据中心、牧草产业园区、商品草种植基地为一体的牧草产业体系</w:t>
      </w:r>
      <w:r>
        <w:rPr>
          <w:rFonts w:hint="eastAsia"/>
          <w:bCs/>
          <w:color w:val="000000" w:themeColor="text1"/>
          <w:lang w:eastAsia="zh-CN"/>
          <w14:textFill>
            <w14:solidFill>
              <w14:schemeClr w14:val="tx1"/>
            </w14:solidFill>
          </w14:textFill>
        </w:rPr>
        <w:t>。</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建设高标准饲草基地</w:t>
      </w:r>
    </w:p>
    <w:p>
      <w:pPr>
        <w:spacing w:line="700" w:lineRule="exact"/>
        <w:ind w:firstLine="560"/>
        <w:rPr>
          <w:color w:val="000000" w:themeColor="text1"/>
          <w14:textFill>
            <w14:solidFill>
              <w14:schemeClr w14:val="tx1"/>
            </w14:solidFill>
          </w14:textFill>
        </w:rPr>
      </w:pPr>
      <w:r>
        <w:rPr>
          <w:rFonts w:hint="eastAsia"/>
          <w:bCs/>
          <w:color w:val="000000" w:themeColor="text1"/>
          <w14:textFill>
            <w14:solidFill>
              <w14:schemeClr w14:val="tx1"/>
            </w14:solidFill>
          </w14:textFill>
        </w:rPr>
        <w:t>依托乳品加工龙头企业，</w:t>
      </w:r>
      <w:r>
        <w:rPr>
          <w:rFonts w:hint="eastAsia"/>
          <w:color w:val="000000" w:themeColor="text1"/>
          <w14:textFill>
            <w14:solidFill>
              <w14:schemeClr w14:val="tx1"/>
            </w14:solidFill>
          </w14:textFill>
        </w:rPr>
        <w:t>按照“种养一体化”的思路</w:t>
      </w:r>
      <w:r>
        <w:rPr>
          <w:rFonts w:hint="eastAsia"/>
          <w:bCs/>
          <w:color w:val="000000" w:themeColor="text1"/>
          <w14:textFill>
            <w14:solidFill>
              <w14:schemeClr w14:val="tx1"/>
            </w14:solidFill>
          </w14:textFill>
        </w:rPr>
        <w:t>，基于高标准农田建设项目，支持奶牛标准化养殖场周边通过土地流转、合作协议等方式，建设一批“田地平整肥沃、水利设施配套、田间道路畅通、林网建设适宜、科技先进适用、优质高产高效”苜蓿等优质饲草基地建设，</w:t>
      </w:r>
      <w:r>
        <w:rPr>
          <w:rFonts w:hint="eastAsia"/>
          <w:color w:val="000000" w:themeColor="text1"/>
          <w14:textFill>
            <w14:solidFill>
              <w14:schemeClr w14:val="tx1"/>
            </w14:solidFill>
          </w14:textFill>
        </w:rPr>
        <w:t>扩大玉米、苜蓿草等饲料种植规模，建成青贮玉米、苜蓿草、燕麦草等优质牧草生产基地</w:t>
      </w:r>
      <w:r>
        <w:rPr>
          <w:color w:val="000000" w:themeColor="text1"/>
          <w14:textFill>
            <w14:solidFill>
              <w14:schemeClr w14:val="tx1"/>
            </w14:solidFill>
          </w14:textFill>
        </w:rPr>
        <w:t>180</w:t>
      </w:r>
      <w:r>
        <w:rPr>
          <w:rFonts w:hint="eastAsia"/>
          <w:color w:val="000000" w:themeColor="text1"/>
          <w14:textFill>
            <w14:solidFill>
              <w14:schemeClr w14:val="tx1"/>
            </w14:solidFill>
          </w14:textFill>
        </w:rPr>
        <w:t>万亩。推进饲草种植基地数字化智能化，打造空天地一体化信息和预警管理系统，动态监测饲草种植土壤墒情、作物长势、灾情虫情，及时发布预警信息，提升生产管理信息化水平。</w:t>
      </w:r>
      <w:r>
        <w:rPr>
          <w:rFonts w:hint="eastAsia"/>
          <w:bCs/>
          <w:color w:val="000000" w:themeColor="text1"/>
          <w14:textFill>
            <w14:solidFill>
              <w14:schemeClr w14:val="tx1"/>
            </w14:solidFill>
          </w14:textFill>
        </w:rPr>
        <w:t>推进饲草种植全程机械化，</w:t>
      </w:r>
      <w:r>
        <w:rPr>
          <w:rFonts w:hint="eastAsia"/>
          <w:color w:val="000000" w:themeColor="text1"/>
          <w14:textFill>
            <w14:solidFill>
              <w14:schemeClr w14:val="tx1"/>
            </w14:solidFill>
          </w14:textFill>
        </w:rPr>
        <w:t>实施苜蓿、青贮玉米生产机械化提升行动，对苜蓿、青贮等饲草料作物收获、加工机械实行敞开补贴政策，鼓励社会资本购买大型收储机械，提供租赁技术服务，保障饲草产品质量。</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提升优质饲草料加工技术水平</w:t>
      </w:r>
    </w:p>
    <w:p>
      <w:pPr>
        <w:spacing w:line="700" w:lineRule="exact"/>
        <w:ind w:firstLine="56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加大呼和浩特地区玉米秸秆基础特性研究，优化玉米青贮技术，提高青贮玉米秸秆饲料品质，提高青贮玉米饲料供应比例，降低粗饲料成本。探索推进秸秆饲料化利用，引导玉米种植推进控膜控肥，推广秸秆高效发酵饲料技术，提高秸秆资源化利用水平。</w:t>
      </w:r>
      <w:r>
        <w:rPr>
          <w:rFonts w:hint="eastAsia"/>
          <w:color w:val="000000" w:themeColor="text1"/>
          <w14:textFill>
            <w14:solidFill>
              <w14:schemeClr w14:val="tx1"/>
            </w14:solidFill>
          </w14:textFill>
        </w:rPr>
        <w:t>加快牧草饲料开发，发展牧草加工产业。</w:t>
      </w:r>
      <w:r>
        <w:rPr>
          <w:rFonts w:hint="eastAsia" w:ascii="仿宋_GB2312" w:hAnsi="仿宋_GB2312" w:cs="仿宋_GB2312"/>
          <w:color w:val="000000" w:themeColor="text1"/>
          <w14:textFill>
            <w14:solidFill>
              <w14:schemeClr w14:val="tx1"/>
            </w14:solidFill>
          </w14:textFill>
        </w:rPr>
        <w:t>支持饲料企业技术创新，开发安全高效饲料添加剂新产品，</w:t>
      </w:r>
      <w:r>
        <w:rPr>
          <w:rFonts w:hint="eastAsia"/>
          <w:color w:val="000000" w:themeColor="text1"/>
          <w14:textFill>
            <w14:solidFill>
              <w14:schemeClr w14:val="tx1"/>
            </w14:solidFill>
          </w14:textFill>
        </w:rPr>
        <w:t>引入先进的饲料加工技术和设备，</w:t>
      </w:r>
      <w:r>
        <w:rPr>
          <w:rFonts w:hint="eastAsia" w:ascii="仿宋_GB2312" w:hAnsi="仿宋_GB2312" w:cs="仿宋_GB2312"/>
          <w:color w:val="000000" w:themeColor="text1"/>
          <w14:textFill>
            <w14:solidFill>
              <w14:schemeClr w14:val="tx1"/>
            </w14:solidFill>
          </w14:textFill>
        </w:rPr>
        <w:t>提升适合市场需求的浓缩饲料、配合饲料、精料补充料、饲料添加剂等优质产品的生产能力。</w:t>
      </w:r>
    </w:p>
    <w:tbl>
      <w:tblPr>
        <w:tblStyle w:val="34"/>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295" w:type="dxa"/>
            <w:tcBorders>
              <w:top w:val="single" w:color="auto" w:sz="4" w:space="0"/>
              <w:left w:val="single" w:color="auto" w:sz="4" w:space="0"/>
              <w:bottom w:val="single" w:color="auto" w:sz="4" w:space="0"/>
              <w:right w:val="single" w:color="auto" w:sz="4" w:space="0"/>
            </w:tcBorders>
            <w:shd w:val="clear" w:color="auto" w:fill="C2D69B" w:themeFill="accent3" w:themeFillTint="99"/>
            <w:vAlign w:val="center"/>
          </w:tcPr>
          <w:p>
            <w:pPr>
              <w:ind w:firstLine="562"/>
              <w:jc w:val="center"/>
              <w:rPr>
                <w:rFonts w:ascii="仿宋_GB2312"/>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专栏</w:t>
            </w:r>
            <w:r>
              <w:rPr>
                <w:b/>
                <w:bCs/>
                <w:color w:val="000000" w:themeColor="text1"/>
                <w14:textFill>
                  <w14:solidFill>
                    <w14:schemeClr w14:val="tx1"/>
                  </w14:solidFill>
                </w14:textFill>
              </w:rPr>
              <w:t>1</w:t>
            </w:r>
            <w:r>
              <w:rPr>
                <w:rFonts w:hint="eastAsia"/>
                <w:b/>
                <w:bCs/>
                <w:color w:val="000000" w:themeColor="text1"/>
                <w14:textFill>
                  <w14:solidFill>
                    <w14:schemeClr w14:val="tx1"/>
                  </w14:solidFill>
                </w14:textFill>
              </w:rPr>
              <w:t>优势奶源基地建设工程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295" w:type="dxa"/>
            <w:tcBorders>
              <w:top w:val="single" w:color="auto" w:sz="4" w:space="0"/>
              <w:left w:val="single" w:color="auto" w:sz="4" w:space="0"/>
              <w:bottom w:val="single" w:color="auto" w:sz="4" w:space="0"/>
              <w:right w:val="single" w:color="auto" w:sz="4" w:space="0"/>
            </w:tcBorders>
            <w:vAlign w:val="center"/>
          </w:tcPr>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奶牛良种繁育体系建设项目。</w:t>
            </w:r>
            <w:r>
              <w:rPr>
                <w:rFonts w:hint="eastAsia"/>
                <w:color w:val="000000" w:themeColor="text1"/>
                <w14:textFill>
                  <w14:solidFill>
                    <w14:schemeClr w14:val="tx1"/>
                  </w14:solidFill>
                </w14:textFill>
              </w:rPr>
              <w:t>依托伊利、蒙牛、赛科星等龙头企业，开展优质奶牛品种引进、奶牛品种改良和规范化养殖技术研究，分别在和林格尔县和清水河县建设奶牛良种繁育中心</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处，全市建立奶牛良种扩繁场</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处，建设相互配套供种体系，提升规模化、设施化、标准化水平。加快奶牛性控技术、胚胎工程技术和分子育种技术的应用。依托1个国家奶牛核心育种场和1个种公牛站，选择6个荷斯坦奶牛良种繁育场，通过联合育种模式，培育国内及国际排名前100的优秀种公牛，其中培育全国排名前100名的后备种公牛30头，国际排名前100的2头。实施高产奶牛核心群建设项目，通过移植种用胚胎和高产奶牛性控胚胎，培育良种奶牛并开展全基因组检测和遗传评估，每年培育5000头后备牛，培育核心种子母牛群。</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奶羊良种繁育工程项目。</w:t>
            </w:r>
            <w:r>
              <w:rPr>
                <w:rFonts w:hint="eastAsia"/>
                <w:color w:val="000000" w:themeColor="text1"/>
                <w14:textFill>
                  <w14:solidFill>
                    <w14:schemeClr w14:val="tx1"/>
                  </w14:solidFill>
                </w14:textFill>
              </w:rPr>
              <w:t>依托盛健集团、乐科生物技术公司等，引进的优质奶羊种羊品种萨能、土根堡、阿尔卑斯、东弗利生等，开展奶羊良种培育工程，培育奶羊核心种羊场</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个，奶羊良种繁育场3处，培育出“敕勒川奶山羊”新品种。</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年实现基础母羊存栏数达到15万只，奶羊存栏30万只，服务奶羊养殖快速发展。</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数字牧场示范基地项目。</w:t>
            </w:r>
            <w:r>
              <w:rPr>
                <w:rFonts w:hint="eastAsia"/>
                <w:color w:val="000000" w:themeColor="text1"/>
                <w14:textFill>
                  <w14:solidFill>
                    <w14:schemeClr w14:val="tx1"/>
                  </w14:solidFill>
                </w14:textFill>
              </w:rPr>
              <w:t>依托伊利集团、蒙牛等企业，分别以和林格尔县、土默特左旗、清水河县为核心区域，建设</w:t>
            </w:r>
            <w:r>
              <w:rPr>
                <w:color w:val="000000" w:themeColor="text1"/>
                <w14:textFill>
                  <w14:solidFill>
                    <w14:schemeClr w14:val="tx1"/>
                  </w14:solidFill>
                </w14:textFill>
              </w:rPr>
              <w:t>3000-12000</w:t>
            </w:r>
            <w:r>
              <w:rPr>
                <w:rFonts w:hint="eastAsia"/>
                <w:color w:val="000000" w:themeColor="text1"/>
                <w14:textFill>
                  <w14:solidFill>
                    <w14:schemeClr w14:val="tx1"/>
                  </w14:solidFill>
                </w14:textFill>
              </w:rPr>
              <w:t>头适度规模或同等规模的高产、智慧、生态奶牛养殖牧场3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个，通过提高设备机械化、数字化和智能化水平，打造智慧型样板牧场1-2座，示范带动规模化奶牛养殖场数字牧场全覆盖。</w:t>
            </w:r>
          </w:p>
          <w:p>
            <w:pPr>
              <w:ind w:firstLine="562"/>
              <w:rPr>
                <w:rFonts w:hint="eastAsia" w:eastAsia="宋体" w:cs="宋体"/>
                <w:color w:val="000000" w:themeColor="text1"/>
                <w14:textFill>
                  <w14:solidFill>
                    <w14:schemeClr w14:val="tx1"/>
                  </w14:solidFill>
                </w14:textFill>
              </w:rPr>
            </w:pPr>
            <w:r>
              <w:rPr>
                <w:rFonts w:hint="eastAsia"/>
                <w:b/>
                <w:bCs/>
                <w:color w:val="000000" w:themeColor="text1"/>
                <w14:textFill>
                  <w14:solidFill>
                    <w14:schemeClr w14:val="tx1"/>
                  </w14:solidFill>
                </w14:textFill>
              </w:rPr>
              <w:t>优质饲草良种培育项目。</w:t>
            </w:r>
            <w:r>
              <w:rPr>
                <w:rFonts w:hint="eastAsia"/>
                <w:color w:val="000000" w:themeColor="text1"/>
                <w14:textFill>
                  <w14:solidFill>
                    <w14:schemeClr w14:val="tx1"/>
                  </w14:solidFill>
                </w14:textFill>
              </w:rPr>
              <w:t>依托中国农科院草原研究所、内蒙古农业大学</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蒙草公司、草都农牧业公司、正时生态（农业）有限</w:t>
            </w:r>
            <w:r>
              <w:rPr>
                <w:rFonts w:hint="eastAsia"/>
                <w:color w:val="000000" w:themeColor="text1"/>
                <w:lang w:eastAsia="zh-CN"/>
                <w14:textFill>
                  <w14:solidFill>
                    <w14:schemeClr w14:val="tx1"/>
                  </w14:solidFill>
                </w14:textFill>
              </w:rPr>
              <w:t>公司</w:t>
            </w:r>
            <w:r>
              <w:rPr>
                <w:rFonts w:hint="eastAsia"/>
                <w:color w:val="000000" w:themeColor="text1"/>
                <w14:textFill>
                  <w14:solidFill>
                    <w14:schemeClr w14:val="tx1"/>
                  </w14:solidFill>
                </w14:textFill>
              </w:rPr>
              <w:t>等主体，共同打造集“技术研究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休闲观光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教学示范”于一体的多功能饲草良种繁育科技产业</w:t>
            </w:r>
            <w:r>
              <w:rPr>
                <w:rFonts w:hint="eastAsia"/>
                <w:color w:val="000000" w:themeColor="text1"/>
                <w:lang w:eastAsia="zh-CN"/>
                <w14:textFill>
                  <w14:solidFill>
                    <w14:schemeClr w14:val="tx1"/>
                  </w14:solidFill>
                </w14:textFill>
              </w:rPr>
              <w:t>园</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建设</w:t>
            </w:r>
            <w:r>
              <w:rPr>
                <w:rFonts w:hint="eastAsia"/>
                <w:color w:val="000000" w:themeColor="text1"/>
                <w14:textFill>
                  <w14:solidFill>
                    <w14:schemeClr w14:val="tx1"/>
                  </w14:solidFill>
                </w14:textFill>
              </w:rPr>
              <w:t>牧草种质资源库</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依托高标准农田建设</w:t>
            </w:r>
            <w:r>
              <w:rPr>
                <w:rFonts w:hint="eastAsia"/>
                <w:color w:val="000000" w:themeColor="text1"/>
                <w:lang w:eastAsia="zh-CN"/>
                <w14:textFill>
                  <w14:solidFill>
                    <w14:schemeClr w14:val="tx1"/>
                  </w14:solidFill>
                </w14:textFill>
              </w:rPr>
              <w:t>，</w:t>
            </w:r>
            <w:r>
              <w:rPr>
                <w:rFonts w:hint="eastAsia" w:eastAsia="宋体" w:cs="宋体"/>
                <w:color w:val="000000" w:themeColor="text1"/>
                <w:lang w:val="en-US" w:eastAsia="zh-CN"/>
                <w14:textFill>
                  <w14:solidFill>
                    <w14:schemeClr w14:val="tx1"/>
                  </w14:solidFill>
                </w14:textFill>
              </w:rPr>
              <w:t>在土默特左旗、和林格尔县、托克托县、武川县、清水河县、赛罕区</w:t>
            </w:r>
            <w:r>
              <w:rPr>
                <w:rFonts w:hint="eastAsia"/>
                <w:color w:val="000000" w:themeColor="text1"/>
                <w14:textFill>
                  <w14:solidFill>
                    <w14:schemeClr w14:val="tx1"/>
                  </w14:solidFill>
                </w14:textFill>
              </w:rPr>
              <w:t>开展牧草品种研究开发，打造牧草交易数据中心、牧草产业园区、商品草种植基地为一体</w:t>
            </w:r>
            <w:r>
              <w:rPr>
                <w:rFonts w:hint="eastAsia" w:eastAsia="宋体" w:cs="宋体"/>
                <w:color w:val="000000" w:themeColor="text1"/>
                <w:lang w:val="en-US" w:eastAsia="zh-CN"/>
                <w14:textFill>
                  <w14:solidFill>
                    <w14:schemeClr w14:val="tx1"/>
                  </w14:solidFill>
                </w14:textFill>
              </w:rPr>
              <w:t>育繁推一体化示范基地。</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优质饲草基地项目。</w:t>
            </w:r>
            <w:r>
              <w:rPr>
                <w:rFonts w:hint="eastAsia"/>
                <w:color w:val="000000" w:themeColor="text1"/>
                <w14:textFill>
                  <w14:solidFill>
                    <w14:schemeClr w14:val="tx1"/>
                  </w14:solidFill>
                </w14:textFill>
              </w:rPr>
              <w:t>坚持“为养而种、种养结合、循环发展”，结合奶牛标准化规模养殖示范基地、高标准农田及盐碱地改良项目的建设，通过实施牧草良种补贴，高产创建示范项目，在和林县格尔县、土默特左旗、托克托县、赛罕区、清水河县、武川县等建设优质饲草基地</w:t>
            </w:r>
            <w:r>
              <w:rPr>
                <w:color w:val="000000" w:themeColor="text1"/>
                <w14:textFill>
                  <w14:solidFill>
                    <w14:schemeClr w14:val="tx1"/>
                  </w14:solidFill>
                </w14:textFill>
              </w:rPr>
              <w:t>180</w:t>
            </w:r>
            <w:r>
              <w:rPr>
                <w:rFonts w:hint="eastAsia"/>
                <w:color w:val="000000" w:themeColor="text1"/>
                <w14:textFill>
                  <w14:solidFill>
                    <w14:schemeClr w14:val="tx1"/>
                  </w14:solidFill>
                </w14:textFill>
              </w:rPr>
              <w:t>万亩。</w:t>
            </w:r>
          </w:p>
        </w:tc>
      </w:tr>
    </w:tbl>
    <w:p>
      <w:pPr>
        <w:ind w:firstLine="56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rPr>
          <w:rStyle w:val="37"/>
          <w:b/>
          <w:bCs/>
          <w:color w:val="000000" w:themeColor="text1"/>
          <w:kern w:val="0"/>
          <w14:textFill>
            <w14:solidFill>
              <w14:schemeClr w14:val="tx1"/>
            </w14:solidFill>
          </w14:textFill>
        </w:rPr>
      </w:pPr>
      <w:bookmarkStart w:id="32" w:name="_Toc80215051"/>
      <w:r>
        <w:rPr>
          <w:rFonts w:hint="eastAsia"/>
          <w:color w:val="000000" w:themeColor="text1"/>
          <w14:textFill>
            <w14:solidFill>
              <w14:schemeClr w14:val="tx1"/>
            </w14:solidFill>
          </w14:textFill>
        </w:rPr>
        <w:t>大力推进</w:t>
      </w:r>
      <w:r>
        <w:rPr>
          <w:rStyle w:val="37"/>
          <w:rFonts w:hint="eastAsia"/>
          <w:b/>
          <w:bCs/>
          <w:color w:val="000000" w:themeColor="text1"/>
          <w:kern w:val="0"/>
          <w14:textFill>
            <w14:solidFill>
              <w14:schemeClr w14:val="tx1"/>
            </w14:solidFill>
          </w14:textFill>
        </w:rPr>
        <w:t>现代乳业绿色发展</w:t>
      </w:r>
      <w:bookmarkEnd w:id="32"/>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坚持生态优先、绿色发展，以优质奶产品生产为导向，着力加强种养循环农业、粪污资源化利用和奶产品品牌培育，探索建设低碳牧场，加快构建全市奶畜绿色发展格局，推进奶畜规模化、标准化养殖，加强奶畜健康管理，强化饲料兽药行业管理，规范病死畜无害化处理，走出绿色、安全、节约、环保的奶业现代化绿色发展道路。</w:t>
      </w:r>
    </w:p>
    <w:p>
      <w:pPr>
        <w:pStyle w:val="3"/>
        <w:ind w:firstLine="643"/>
        <w:rPr>
          <w:color w:val="000000" w:themeColor="text1"/>
          <w:shd w:val="clear" w:color="auto" w:fill="FFFFFF"/>
          <w14:textFill>
            <w14:solidFill>
              <w14:schemeClr w14:val="tx1"/>
            </w14:solidFill>
          </w14:textFill>
        </w:rPr>
      </w:pPr>
      <w:bookmarkStart w:id="33" w:name="_Toc51510938"/>
      <w:bookmarkStart w:id="34" w:name="_Toc80215052"/>
      <w:r>
        <w:rPr>
          <w:rFonts w:hint="eastAsia"/>
          <w:color w:val="000000" w:themeColor="text1"/>
          <w:shd w:val="clear" w:color="auto" w:fill="FFFFFF"/>
          <w14:textFill>
            <w14:solidFill>
              <w14:schemeClr w14:val="tx1"/>
            </w14:solidFill>
          </w14:textFill>
        </w:rPr>
        <w:t>强化奶畜健康管理</w:t>
      </w:r>
      <w:bookmarkEnd w:id="33"/>
      <w:bookmarkEnd w:id="34"/>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加强饲料、兽药行业管理，鼓励技术研发，推动兽用抗菌药使用减量，强化奶畜健康管理，完善动物疫病防控体系，全面提升奶畜健康养殖水平。到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年，实现饲料和兽药生产经营信息化管理。</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规范饲料兽药行业发展</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规范饲料、兽药企业生产经营管理，鼓励企业开展生产技术工艺引进和创新，提高生产技术水平和产品质量，促进饲料兽药产业稳定持续发展。强化饲料和兽药生产、经营、使用环节监管，开展监督执法检查和质量监督抽检工作，鼓励养殖企业减少兽用抗菌药使用。</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加强动物疫病防控</w:t>
      </w:r>
    </w:p>
    <w:p>
      <w:pPr>
        <w:ind w:firstLine="562"/>
        <w:rPr>
          <w:b/>
          <w:color w:val="000000" w:themeColor="text1"/>
          <w14:textFill>
            <w14:solidFill>
              <w14:schemeClr w14:val="tx1"/>
            </w14:solidFill>
          </w14:textFill>
        </w:rPr>
      </w:pPr>
      <w:r>
        <w:rPr>
          <w:rFonts w:hint="eastAsia"/>
          <w:b/>
          <w:color w:val="000000" w:themeColor="text1"/>
          <w14:textFill>
            <w14:solidFill>
              <w14:schemeClr w14:val="tx1"/>
            </w14:solidFill>
          </w14:textFill>
        </w:rPr>
        <w:t>一是强化养殖场动物疫病防控管理。</w:t>
      </w:r>
      <w:r>
        <w:rPr>
          <w:rFonts w:hint="eastAsia"/>
          <w:color w:val="000000" w:themeColor="text1"/>
          <w14:textFill>
            <w14:solidFill>
              <w14:schemeClr w14:val="tx1"/>
            </w14:solidFill>
          </w14:textFill>
        </w:rPr>
        <w:t>按照动物防疫“预防为主、预防与控制、净化、消灭相结合”的方针，落实养殖场防疫主体责任。</w:t>
      </w:r>
      <w:r>
        <w:rPr>
          <w:rFonts w:hint="eastAsia"/>
          <w:iCs/>
          <w:color w:val="000000" w:themeColor="text1"/>
          <w14:textFill>
            <w14:solidFill>
              <w14:schemeClr w14:val="tx1"/>
            </w14:solidFill>
          </w14:textFill>
        </w:rPr>
        <w:t>指导养殖场</w:t>
      </w:r>
      <w:r>
        <w:rPr>
          <w:rFonts w:hint="eastAsia"/>
          <w:color w:val="000000" w:themeColor="text1"/>
          <w14:textFill>
            <w14:solidFill>
              <w14:schemeClr w14:val="tx1"/>
            </w14:solidFill>
          </w14:textFill>
        </w:rPr>
        <w:t>建立健全动物防疫档案制度</w:t>
      </w:r>
      <w:r>
        <w:rPr>
          <w:rFonts w:hint="eastAsia"/>
          <w:iCs/>
          <w:color w:val="000000" w:themeColor="text1"/>
          <w14:textFill>
            <w14:solidFill>
              <w14:schemeClr w14:val="tx1"/>
            </w14:solidFill>
          </w14:textFill>
        </w:rPr>
        <w:t>，提升动物防疫水平，降低动物疫病发生风险。</w:t>
      </w:r>
      <w:r>
        <w:rPr>
          <w:rFonts w:hint="eastAsia"/>
          <w:b/>
          <w:color w:val="000000" w:themeColor="text1"/>
          <w14:textFill>
            <w14:solidFill>
              <w14:schemeClr w14:val="tx1"/>
            </w14:solidFill>
          </w14:textFill>
        </w:rPr>
        <w:t>二是完善动物防疫体系。</w:t>
      </w:r>
      <w:r>
        <w:rPr>
          <w:rFonts w:hint="eastAsia"/>
          <w:color w:val="000000" w:themeColor="text1"/>
          <w14:textFill>
            <w14:solidFill>
              <w14:schemeClr w14:val="tx1"/>
            </w14:solidFill>
          </w14:textFill>
        </w:rPr>
        <w:t>建立健全动物疫病监测网络，加强兽医系统实验室建设，提升动物疫病监测水平。构建动物疫病防控风险评估体系，强化动物疫情预警和动物疫病可追溯管理。加强疫情网报体系建设，畅通疫情报告渠道。深入推进兽医社会化服务工作，保障防疫物资储备供应，进一步提高动物防疫监管服务能力和动物疫情应急处置能力。</w:t>
      </w:r>
    </w:p>
    <w:p>
      <w:pPr>
        <w:pStyle w:val="3"/>
        <w:ind w:firstLine="643"/>
        <w:rPr>
          <w:color w:val="000000" w:themeColor="text1"/>
          <w:shd w:val="clear" w:color="auto" w:fill="FFFFFF"/>
          <w14:textFill>
            <w14:solidFill>
              <w14:schemeClr w14:val="tx1"/>
            </w14:solidFill>
          </w14:textFill>
        </w:rPr>
      </w:pPr>
      <w:bookmarkStart w:id="35" w:name="_Toc80215053"/>
      <w:r>
        <w:rPr>
          <w:rFonts w:hint="eastAsia"/>
          <w:color w:val="000000" w:themeColor="text1"/>
          <w:shd w:val="clear" w:color="auto" w:fill="FFFFFF"/>
          <w14:textFill>
            <w14:solidFill>
              <w14:schemeClr w14:val="tx1"/>
            </w14:solidFill>
          </w14:textFill>
        </w:rPr>
        <w:t>加强养殖废弃物处理利用</w:t>
      </w:r>
      <w:bookmarkEnd w:id="35"/>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建立健全奶牛</w:t>
      </w:r>
      <w:r>
        <w:rPr>
          <w:rFonts w:hint="eastAsia"/>
          <w:color w:val="000000" w:themeColor="text1"/>
          <w:shd w:val="clear" w:color="auto" w:fill="FFFFFF"/>
          <w14:textFill>
            <w14:solidFill>
              <w14:schemeClr w14:val="tx1"/>
            </w14:solidFill>
          </w14:textFill>
        </w:rPr>
        <w:t>养殖废弃物</w:t>
      </w:r>
      <w:r>
        <w:rPr>
          <w:rFonts w:hint="eastAsia"/>
          <w:color w:val="000000" w:themeColor="text1"/>
          <w14:textFill>
            <w14:solidFill>
              <w14:schemeClr w14:val="tx1"/>
            </w14:solidFill>
          </w14:textFill>
        </w:rPr>
        <w:t>资源化利用评价考核和工作指导制度，建设畜禽粪污贮存、处理、利用设施，降低养殖粪污产生量和污染风险，推广高效经济粪污处理利用模式，打通粪肥利用通道，构建种养结合生态循环机制。落实病死动物无害化处理补助政策，加快无害化处理体系建设。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年，全市规模奶牛养殖场粪污处理设施装备配套率达到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，奶牛粪污资源化利用率达到</w:t>
      </w:r>
      <w:r>
        <w:rPr>
          <w:color w:val="000000" w:themeColor="text1"/>
          <w14:textFill>
            <w14:solidFill>
              <w14:schemeClr w14:val="tx1"/>
            </w14:solidFill>
          </w14:textFill>
        </w:rPr>
        <w:t>95%</w:t>
      </w:r>
      <w:r>
        <w:rPr>
          <w:rFonts w:hint="eastAsia"/>
          <w:color w:val="000000" w:themeColor="text1"/>
          <w14:textFill>
            <w14:solidFill>
              <w14:schemeClr w14:val="tx1"/>
            </w14:solidFill>
          </w14:textFill>
        </w:rPr>
        <w:t>。</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大力推进种养一体化</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按照“种养一体化”的思路，引导奶牛养殖场按照土地承载力配套相应的饲草基地和种植基地，鼓励通过粪肥经纪公司、经纪人等社会化服务主体，与种植主体有效衔接，就地就近还田利用粪肥。建设以粪肥还田利用为纽带、以沼肥还田利用为纽带的种养结合示范基地，推进畜禽粪污就地就近利用，提高饲草品质。支持种植大户、合作社、家庭农场、农业企业在田间地头配套建设液态粪肥田间贮存池、输送管网等设施，配备粪肥施用机械，打通粪肥还田“最后一公里”。对无法就地就近利用的，鼓励生产商品有机肥。</w:t>
      </w:r>
    </w:p>
    <w:p>
      <w:pPr>
        <w:pStyle w:val="4"/>
        <w:ind w:firstLine="562"/>
        <w:rPr>
          <w:color w:val="000000" w:themeColor="text1"/>
          <w:sz w:val="32"/>
          <w14:textFill>
            <w14:solidFill>
              <w14:schemeClr w14:val="tx1"/>
            </w14:solidFill>
          </w14:textFill>
        </w:rPr>
      </w:pPr>
      <w:r>
        <w:rPr>
          <w:rFonts w:hint="eastAsia"/>
          <w:color w:val="000000" w:themeColor="text1"/>
          <w14:textFill>
            <w14:solidFill>
              <w14:schemeClr w14:val="tx1"/>
            </w14:solidFill>
          </w14:textFill>
        </w:rPr>
        <w:t>加强粪污处理设施建设</w:t>
      </w:r>
    </w:p>
    <w:p>
      <w:pPr>
        <w:ind w:firstLine="562"/>
        <w:rPr>
          <w:color w:val="000000" w:themeColor="text1"/>
          <w14:textFill>
            <w14:solidFill>
              <w14:schemeClr w14:val="tx1"/>
            </w14:solidFill>
          </w14:textFill>
        </w:rPr>
      </w:pPr>
      <w:r>
        <w:rPr>
          <w:rFonts w:hint="eastAsia"/>
          <w:b/>
          <w:color w:val="000000" w:themeColor="text1"/>
          <w14:textFill>
            <w14:solidFill>
              <w14:schemeClr w14:val="tx1"/>
            </w14:solidFill>
          </w14:textFill>
        </w:rPr>
        <w:t>一是推进设施改造升级。</w:t>
      </w:r>
      <w:r>
        <w:rPr>
          <w:rFonts w:hint="eastAsia"/>
          <w:color w:val="000000" w:themeColor="text1"/>
          <w14:textFill>
            <w14:solidFill>
              <w14:schemeClr w14:val="tx1"/>
            </w14:solidFill>
          </w14:textFill>
        </w:rPr>
        <w:t>采取“先建后补”或“以奖代补”方式，对全市奶牛和奶山羊养殖场粪污收集贮存利用与资源化利用设施开展“填平补齐”建设，</w:t>
      </w:r>
      <w:bookmarkStart w:id="36" w:name="_Hlk57790787"/>
      <w:r>
        <w:rPr>
          <w:rFonts w:hint="eastAsia"/>
          <w:color w:val="000000" w:themeColor="text1"/>
          <w14:textFill>
            <w14:solidFill>
              <w14:schemeClr w14:val="tx1"/>
            </w14:solidFill>
          </w14:textFill>
        </w:rPr>
        <w:t>重点改进畜禽养殖和粪污贮存发酵工艺，推广使用节水饮水器、舍外贮存池、自动清粪、雨污分流、发酵或深度处理等设施设备。支持第三方处理主体粪污收集、贮存、处理、利用设施建设，鼓励粪肥末端利用主体配套建设粪肥田间贮存、输送等设施，实现场内粪污贮存发酵与田间粪肥贮存利用设施相配套。</w:t>
      </w:r>
    </w:p>
    <w:bookmarkEnd w:id="36"/>
    <w:p>
      <w:pPr>
        <w:ind w:firstLine="562"/>
        <w:rPr>
          <w:color w:val="000000" w:themeColor="text1"/>
          <w14:textFill>
            <w14:solidFill>
              <w14:schemeClr w14:val="tx1"/>
            </w14:solidFill>
          </w14:textFill>
        </w:rPr>
      </w:pPr>
      <w:r>
        <w:rPr>
          <w:rFonts w:hint="eastAsia"/>
          <w:b/>
          <w:color w:val="000000" w:themeColor="text1"/>
          <w14:textFill>
            <w14:solidFill>
              <w14:schemeClr w14:val="tx1"/>
            </w14:solidFill>
          </w14:textFill>
        </w:rPr>
        <w:t>二是推广高效处理利用模式。</w:t>
      </w:r>
      <w:r>
        <w:rPr>
          <w:rFonts w:hint="eastAsia"/>
          <w:bCs/>
          <w:color w:val="000000" w:themeColor="text1"/>
          <w14:textFill>
            <w14:solidFill>
              <w14:schemeClr w14:val="tx1"/>
            </w14:solidFill>
          </w14:textFill>
        </w:rPr>
        <w:t>按照一场一策的原则，</w:t>
      </w:r>
      <w:r>
        <w:rPr>
          <w:rFonts w:hint="eastAsia"/>
          <w:color w:val="000000" w:themeColor="text1"/>
          <w14:textFill>
            <w14:solidFill>
              <w14:schemeClr w14:val="tx1"/>
            </w14:solidFill>
          </w14:textFill>
        </w:rPr>
        <w:t>推行奶牛粪污资源化利用模式。鼓励大型规模奶牛养殖场使用成熟的好氧发酵工艺，对粪污进行好氧发酵后还田；采用新技术建设大型沼气工程或生物天然气工程，产生的沼气发电上网或提纯生物天然气；在中小规模奶牛养殖场推广粪便堆肥处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液体粪污贮存利用模式，建设粪便堆肥设施和粪污贮存池，推广覆膜式堆肥、微生物发酵菌剂等先进技术，减少臭气排放。在规模奶羊养殖场推广粪便收集堆肥处理利用模式，建设堆肥设施，通过高温发酵实现羊粪无害化和资源化，生产农家肥就地就近施用于农田或生产商品有机肥外运消纳。</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强化病死畜无害化处理</w:t>
      </w:r>
    </w:p>
    <w:p>
      <w:pPr>
        <w:ind w:firstLine="56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一是完善病死畜无害化收集处理体系。</w:t>
      </w:r>
      <w:r>
        <w:rPr>
          <w:rFonts w:hint="eastAsia"/>
          <w:color w:val="000000" w:themeColor="text1"/>
          <w14:textFill>
            <w14:solidFill>
              <w14:schemeClr w14:val="tx1"/>
            </w14:solidFill>
          </w14:textFill>
        </w:rPr>
        <w:t>建立健全政府主导、市场运作无害化处理机制，充分发挥财政资金的引导作用，落实无害化处理补助政策，合理配套建设收集暂存站点，加快无害化处理体系建设。以适宜区域范围内统一收集、集中处理为重点，推动建立集中处理为主，自行分散处理为补充的处理体系，完善病死畜</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统一收集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保险联动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集中处理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跨区合作</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线上监控</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的长效运行机制。</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二是加强无害化处理监管。</w:t>
      </w:r>
      <w:r>
        <w:rPr>
          <w:rFonts w:hint="eastAsia"/>
          <w:color w:val="000000" w:themeColor="text1"/>
          <w14:textFill>
            <w14:solidFill>
              <w14:schemeClr w14:val="tx1"/>
            </w14:solidFill>
          </w14:textFill>
        </w:rPr>
        <w:t>以规模养殖场和无害化处理企业为重点，完善病死动物报告、定点收集、核实登记等制度。建立无害化处理监管信息系统，配备无害化处理设施运行视频监控设备，推动实施病死畜无害化处理信息化监管。开展无害化处理设施和运输车辆病原检测，落实生物安全防控措施。切实加强补助资金使用监管，及时下拨补助资金，充分发挥资金效用。支持扩大保险覆盖面，完善病死畜无害化处理与保险联动机制，将病死畜无害化处理作为保险理赔的前提条件，拓宽病死畜无害化处理支持渠道。</w:t>
      </w:r>
    </w:p>
    <w:p>
      <w:pPr>
        <w:pStyle w:val="3"/>
        <w:ind w:firstLine="643"/>
        <w:rPr>
          <w:color w:val="000000" w:themeColor="text1"/>
          <w:shd w:val="clear" w:color="auto" w:fill="FFFFFF"/>
          <w14:textFill>
            <w14:solidFill>
              <w14:schemeClr w14:val="tx1"/>
            </w14:solidFill>
          </w14:textFill>
        </w:rPr>
      </w:pPr>
      <w:bookmarkStart w:id="37" w:name="_Toc80215054"/>
      <w:r>
        <w:rPr>
          <w:rFonts w:hint="eastAsia"/>
          <w:color w:val="000000" w:themeColor="text1"/>
          <w:shd w:val="clear" w:color="auto" w:fill="FFFFFF"/>
          <w14:textFill>
            <w14:solidFill>
              <w14:schemeClr w14:val="tx1"/>
            </w14:solidFill>
          </w14:textFill>
        </w:rPr>
        <w:t>推进乳业全产业链低碳减排</w:t>
      </w:r>
      <w:bookmarkEnd w:id="37"/>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以低碳循环为引领，多环节、多路径强化奶牛养殖、饲草种植、加工流通全链条减排增汇，促进清洁能源利用，转变生产方式，引领现代乳业低碳发展。到2</w:t>
      </w:r>
      <w:r>
        <w:rPr>
          <w:color w:val="000000" w:themeColor="text1"/>
          <w14:textFill>
            <w14:solidFill>
              <w14:schemeClr w14:val="tx1"/>
            </w14:solidFill>
          </w14:textFill>
        </w:rPr>
        <w:t>025</w:t>
      </w:r>
      <w:r>
        <w:rPr>
          <w:rFonts w:hint="eastAsia"/>
          <w:color w:val="000000" w:themeColor="text1"/>
          <w14:textFill>
            <w14:solidFill>
              <w14:schemeClr w14:val="tx1"/>
            </w14:solidFill>
          </w14:textFill>
        </w:rPr>
        <w:t>年，在确保乳品供给安全的前提下，建设一批低碳规模化牧场，全产业链条低碳发展水平大幅提升。</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推进养殖环节低碳减排</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优化饲料添加剂和精准饲喂配方管理，探索采用加强微生物制剂、酶制剂等技术，探索降低非生产动物比例、改善动物福利健康，提高饲料转化率和生产效率，降低单位产品排放强度。优化奶牛粪污管理方式，推广密闭贮存发酵、好氧堆肥等技术，协同降低温室气体和氨气排放。加强牧场温室气体排放监测和管控，提高温室气体减排水平。</w:t>
      </w:r>
    </w:p>
    <w:p>
      <w:pPr>
        <w:pStyle w:val="4"/>
        <w:numPr>
          <w:ilvl w:val="0"/>
          <w:numId w:val="0"/>
        </w:numPr>
        <w:ind w:left="400" w:firstLine="281"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5.3.2推进饲草种植低碳发展</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以提高固碳能力为目标，按照兼顾提高饲草品质、效益和增汇减排的原则，缩减饲草料运输半径，结合呼和浩特气候特点和土壤性质，推广适合当地的低碳节能饲草种植模式，采用化肥减量、农作物秸秆炭化还田等技术模式，开展绿色种养循环农业试点，促进粪肥还田利用，提高饲草基地碳库储量。</w:t>
      </w:r>
    </w:p>
    <w:p>
      <w:pPr>
        <w:pStyle w:val="4"/>
        <w:numPr>
          <w:ilvl w:val="0"/>
          <w:numId w:val="0"/>
        </w:numPr>
        <w:ind w:left="562"/>
        <w:rPr>
          <w:color w:val="000000" w:themeColor="text1"/>
          <w14:textFill>
            <w14:solidFill>
              <w14:schemeClr w14:val="tx1"/>
            </w14:solidFill>
          </w14:textFill>
        </w:rPr>
      </w:pPr>
      <w:r>
        <w:rPr>
          <w:rFonts w:hint="eastAsia"/>
          <w:color w:val="000000" w:themeColor="text1"/>
          <w14:textFill>
            <w14:solidFill>
              <w14:schemeClr w14:val="tx1"/>
            </w14:solidFill>
          </w14:textFill>
        </w:rPr>
        <w:t>5.3.3促进牧场清洁能源利用</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推进牧场清洁能源利用，有条件的牧场支持建设沼气工程，推广秸秆等生物质清洁燃料，推广生物质燃料</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生物质锅炉在养殖领域利用，替代劣质煤</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燃煤锅炉，推进牧场光伏能源利用，探索“板上发电、板下养殖”的养殖圈舍屋顶建设光伏建设，替代化石能源利用，提高温室气体减排能力。</w:t>
      </w:r>
    </w:p>
    <w:p>
      <w:pPr>
        <w:pStyle w:val="4"/>
        <w:numPr>
          <w:ilvl w:val="0"/>
          <w:numId w:val="0"/>
        </w:numPr>
        <w:ind w:left="400"/>
        <w:rPr>
          <w:color w:val="000000" w:themeColor="text1"/>
          <w14:textFill>
            <w14:solidFill>
              <w14:schemeClr w14:val="tx1"/>
            </w14:solidFill>
          </w14:textFill>
        </w:rPr>
      </w:pPr>
      <w:r>
        <w:rPr>
          <w:rFonts w:hint="eastAsia"/>
          <w:color w:val="000000" w:themeColor="text1"/>
          <w14:textFill>
            <w14:solidFill>
              <w14:schemeClr w14:val="tx1"/>
            </w14:solidFill>
          </w14:textFill>
        </w:rPr>
        <w:t>5.3.4 推进乳品加工流通节能减排</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以龙头企业为引领，在乳业加工流通等环节推行低碳减排措施。在乳品加工、饲料加工、装备制造等领域，推广使用清洁能源，</w:t>
      </w:r>
      <w:r>
        <w:rPr>
          <w:color w:val="000000" w:themeColor="text1"/>
          <w14:textFill>
            <w14:solidFill>
              <w14:schemeClr w14:val="tx1"/>
            </w14:solidFill>
          </w14:textFill>
        </w:rPr>
        <w:t>淘汰落后、等量或减量置换行业装备，增加</w:t>
      </w:r>
      <w:r>
        <w:rPr>
          <w:rFonts w:hint="eastAsia"/>
          <w:color w:val="000000" w:themeColor="text1"/>
          <w14:textFill>
            <w14:solidFill>
              <w14:schemeClr w14:val="tx1"/>
            </w14:solidFill>
          </w14:textFill>
        </w:rPr>
        <w:t>工业园区</w:t>
      </w:r>
      <w:r>
        <w:rPr>
          <w:color w:val="000000" w:themeColor="text1"/>
          <w14:textFill>
            <w14:solidFill>
              <w14:schemeClr w14:val="tx1"/>
            </w14:solidFill>
          </w14:textFill>
        </w:rPr>
        <w:t>余热利用、园区节能改造和综合能源服务，</w:t>
      </w:r>
      <w:r>
        <w:rPr>
          <w:rFonts w:hint="eastAsia"/>
          <w:color w:val="000000" w:themeColor="text1"/>
          <w14:textFill>
            <w14:solidFill>
              <w14:schemeClr w14:val="tx1"/>
            </w14:solidFill>
          </w14:textFill>
        </w:rPr>
        <w:t>提升能源利用效率。促进乳制品冷链运输低碳减排，推广高效制冷、保鲜及隔热系统，优化系统管路设计发展大吨位运输车辆，推广天然气能、电能等清洁能源运输车辆。推广现代智能信息技术，提升绿色技术创新、绿色制造和运维服务的数字化水平。</w:t>
      </w:r>
    </w:p>
    <w:p>
      <w:pPr>
        <w:ind w:firstLine="562"/>
        <w:rPr>
          <w:rFonts w:cs="Times New Roman"/>
          <w:b/>
          <w:bCs/>
          <w:color w:val="000000" w:themeColor="text1"/>
          <w:kern w:val="0"/>
          <w14:textFill>
            <w14:solidFill>
              <w14:schemeClr w14:val="tx1"/>
            </w14:solidFill>
          </w14:textFill>
        </w:rPr>
      </w:pPr>
      <w:r>
        <w:rPr>
          <w:rFonts w:hint="eastAsia" w:cs="Times New Roman"/>
          <w:b/>
          <w:bCs/>
          <w:color w:val="000000" w:themeColor="text1"/>
          <w:kern w:val="0"/>
          <w14:textFill>
            <w14:solidFill>
              <w14:schemeClr w14:val="tx1"/>
            </w14:solidFill>
          </w14:textFill>
        </w:rPr>
        <w:t>5.3.5大力推进现代乳业绿色发展</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支持乳品企业研发和使用可降解或可回收包材、低碳原料，使用绿电生产、过程控制节能减排等；支持乳品企业研发全生命周期的低碳产品，充分发挥乳都的引领作用，从而引导消费者更青睐低碳产品，普及绿色消费行为，支持乳品行业实现双碳目标。</w:t>
      </w:r>
    </w:p>
    <w:tbl>
      <w:tblPr>
        <w:tblStyle w:val="34"/>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95" w:type="dxa"/>
            <w:tcBorders>
              <w:top w:val="single" w:color="auto" w:sz="4" w:space="0"/>
              <w:left w:val="single" w:color="auto" w:sz="4" w:space="0"/>
              <w:bottom w:val="single" w:color="auto" w:sz="4" w:space="0"/>
              <w:right w:val="single" w:color="auto" w:sz="4" w:space="0"/>
            </w:tcBorders>
            <w:shd w:val="clear" w:color="auto" w:fill="C2D69B" w:themeFill="accent3" w:themeFillTint="99"/>
            <w:vAlign w:val="center"/>
          </w:tcPr>
          <w:p>
            <w:pPr>
              <w:ind w:firstLine="562"/>
              <w:rPr>
                <w:rFonts w:ascii="仿宋_GB2312"/>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专栏</w:t>
            </w:r>
            <w:r>
              <w:rPr>
                <w:b/>
                <w:bCs/>
                <w:color w:val="000000" w:themeColor="text1"/>
                <w14:textFill>
                  <w14:solidFill>
                    <w14:schemeClr w14:val="tx1"/>
                  </w14:solidFill>
                </w14:textFill>
              </w:rPr>
              <w:t xml:space="preserve">2 </w:t>
            </w:r>
            <w:r>
              <w:rPr>
                <w:rFonts w:hint="eastAsia"/>
                <w:b/>
                <w:bCs/>
                <w:color w:val="000000" w:themeColor="text1"/>
                <w14:textFill>
                  <w14:solidFill>
                    <w14:schemeClr w14:val="tx1"/>
                  </w14:solidFill>
                </w14:textFill>
              </w:rPr>
              <w:t>现代奶业绿色发展工程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295" w:type="dxa"/>
            <w:tcBorders>
              <w:top w:val="single" w:color="auto" w:sz="4" w:space="0"/>
              <w:left w:val="single" w:color="auto" w:sz="4" w:space="0"/>
              <w:bottom w:val="single" w:color="auto" w:sz="4" w:space="0"/>
              <w:right w:val="single" w:color="auto" w:sz="4" w:space="0"/>
            </w:tcBorders>
            <w:vAlign w:val="center"/>
          </w:tcPr>
          <w:p>
            <w:pPr>
              <w:ind w:firstLine="562"/>
              <w:rPr>
                <w:bCs/>
                <w:color w:val="000000" w:themeColor="text1"/>
                <w14:textFill>
                  <w14:solidFill>
                    <w14:schemeClr w14:val="tx1"/>
                  </w14:solidFill>
                </w14:textFill>
              </w:rPr>
            </w:pPr>
            <w:r>
              <w:rPr>
                <w:rFonts w:hint="eastAsia"/>
                <w:b/>
                <w:bCs/>
                <w:color w:val="000000" w:themeColor="text1"/>
                <w14:textFill>
                  <w14:solidFill>
                    <w14:schemeClr w14:val="tx1"/>
                  </w14:solidFill>
                </w14:textFill>
              </w:rPr>
              <w:t>动物疫病防控项目。</w:t>
            </w:r>
            <w:r>
              <w:rPr>
                <w:rFonts w:hint="eastAsia"/>
                <w:color w:val="000000" w:themeColor="text1"/>
                <w14:textFill>
                  <w14:solidFill>
                    <w14:schemeClr w14:val="tx1"/>
                  </w14:solidFill>
                </w14:textFill>
              </w:rPr>
              <w:t>建立健全动物疫病监测网络，加强兽医系统实验室建设，改造提升疫病监测条件。构建动物疫病防控风险评估体系，强化动物疫情预警和动物疫病可追溯管理。实施兽医社会化服务推进工作，发挥资金引导作用，促进兽医社会化服务市场主体的发展。保障防疫物资储备充足，提升疫情应急处置能力。</w:t>
            </w:r>
          </w:p>
          <w:p>
            <w:pPr>
              <w:ind w:firstLine="562"/>
              <w:rPr>
                <w:color w:val="000000" w:themeColor="text1"/>
                <w14:textFill>
                  <w14:solidFill>
                    <w14:schemeClr w14:val="tx1"/>
                  </w14:solidFill>
                </w14:textFill>
              </w:rPr>
            </w:pPr>
            <w:r>
              <w:rPr>
                <w:rFonts w:hint="eastAsia"/>
                <w:b/>
                <w:color w:val="000000" w:themeColor="text1"/>
                <w14:textFill>
                  <w14:solidFill>
                    <w14:schemeClr w14:val="tx1"/>
                  </w14:solidFill>
                </w14:textFill>
              </w:rPr>
              <w:t>奶畜规模化养殖场粪污处理设施改造项目。</w:t>
            </w:r>
            <w:r>
              <w:rPr>
                <w:rFonts w:hint="eastAsia"/>
                <w:color w:val="000000" w:themeColor="text1"/>
                <w14:textFill>
                  <w14:solidFill>
                    <w14:schemeClr w14:val="tx1"/>
                  </w14:solidFill>
                </w14:textFill>
              </w:rPr>
              <w:t>对全市的规模奶牛和奶羊养殖场开展养殖设施设备提升改造，建设节水设施和与粪污产生规模相匹配的粪污贮存、处理、利用设施，配套资源化利用粪肥运输车辆，在奶牛场推广沼气发酵、粪污全量还田等粪污利用方式，在奶羊养殖场推广舍内垫料收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高温堆肥还田利用方式。</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奶牛粪肥还田利用项目。</w:t>
            </w:r>
            <w:r>
              <w:rPr>
                <w:rFonts w:hint="eastAsia"/>
                <w:color w:val="000000" w:themeColor="text1"/>
                <w14:textFill>
                  <w14:solidFill>
                    <w14:schemeClr w14:val="tx1"/>
                  </w14:solidFill>
                </w14:textFill>
              </w:rPr>
              <w:t>支持粪肥经纪公司、经纪人、有机肥生产企业等粪污第三方处理利用主体建设粪污收集、贮存、处理、利用设施，支持种植大户、合作社、家庭农场、农业企业等建设粪肥田间贮存、输送等设施，实现场内粪污贮存发酵与田间粪肥贮存利用设施相配套。</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低碳牧场项目。</w:t>
            </w:r>
            <w:r>
              <w:rPr>
                <w:rFonts w:hint="eastAsia"/>
                <w:color w:val="000000" w:themeColor="text1"/>
                <w14:textFill>
                  <w14:solidFill>
                    <w14:schemeClr w14:val="tx1"/>
                  </w14:solidFill>
                </w14:textFill>
              </w:rPr>
              <w:t>以低能耗、低污染、低排放为目标，建设</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家低碳规模化奶牛场，采用饲料添加剂和精准饲喂配方管理、降低非生产动物的比例、改善动物福利与健康、进行粪污饲草种植消纳、沼气或光伏等清洁能源利用等低碳高效生产技术措施，推进全程数字化管理，实现减碳增效。</w:t>
            </w:r>
          </w:p>
          <w:p>
            <w:pPr>
              <w:ind w:firstLine="562"/>
              <w:rPr>
                <w:color w:val="000000" w:themeColor="text1"/>
                <w14:textFill>
                  <w14:solidFill>
                    <w14:schemeClr w14:val="tx1"/>
                  </w14:solidFill>
                </w14:textFill>
              </w:rPr>
            </w:pPr>
            <w:r>
              <w:rPr>
                <w:rFonts w:hint="eastAsia"/>
                <w:b/>
                <w:color w:val="000000" w:themeColor="text1"/>
                <w14:textFill>
                  <w14:solidFill>
                    <w14:schemeClr w14:val="tx1"/>
                  </w14:solidFill>
                </w14:textFill>
              </w:rPr>
              <w:t>病死畜无害化处理项目。</w:t>
            </w:r>
            <w:r>
              <w:rPr>
                <w:rFonts w:hint="eastAsia"/>
                <w:color w:val="000000" w:themeColor="text1"/>
                <w14:textFill>
                  <w14:solidFill>
                    <w14:schemeClr w14:val="tx1"/>
                  </w14:solidFill>
                </w14:textFill>
              </w:rPr>
              <w:t>在土默特左旗、和林格尔县、托克托县、赛罕区等奶牛养殖量大、有条件的旗县区，建设病死动物无害化处理中心。在全市范围内</w:t>
            </w:r>
            <w:r>
              <w:rPr>
                <w:color w:val="000000" w:themeColor="text1"/>
                <w14:textFill>
                  <w14:solidFill>
                    <w14:schemeClr w14:val="tx1"/>
                  </w14:solidFill>
                </w14:textFill>
              </w:rPr>
              <w:t>结合养殖量、养殖布局和</w:t>
            </w:r>
            <w:r>
              <w:rPr>
                <w:rFonts w:hint="eastAsia"/>
                <w:color w:val="000000" w:themeColor="text1"/>
                <w14:textFill>
                  <w14:solidFill>
                    <w14:schemeClr w14:val="tx1"/>
                  </w14:solidFill>
                </w14:textFill>
              </w:rPr>
              <w:t>动物</w:t>
            </w:r>
            <w:r>
              <w:rPr>
                <w:color w:val="000000" w:themeColor="text1"/>
                <w14:textFill>
                  <w14:solidFill>
                    <w14:schemeClr w14:val="tx1"/>
                  </w14:solidFill>
                </w14:textFill>
              </w:rPr>
              <w:t>死亡数量等因素</w:t>
            </w:r>
            <w:r>
              <w:rPr>
                <w:rFonts w:hint="eastAsia"/>
                <w:color w:val="000000" w:themeColor="text1"/>
                <w14:textFill>
                  <w14:solidFill>
                    <w14:schemeClr w14:val="tx1"/>
                  </w14:solidFill>
                </w14:textFill>
              </w:rPr>
              <w:t>，建设病死动物收集暂存站点，依托病死动物无害化处理企业进行集中处理。</w:t>
            </w:r>
            <w:r>
              <w:rPr>
                <w:color w:val="000000" w:themeColor="text1"/>
                <w14:textFill>
                  <w14:solidFill>
                    <w14:schemeClr w14:val="tx1"/>
                  </w14:solidFill>
                </w14:textFill>
              </w:rPr>
              <w:t>建立无害化处理监管信息系统，推动</w:t>
            </w:r>
            <w:r>
              <w:rPr>
                <w:rFonts w:hint="eastAsia"/>
                <w:color w:val="000000" w:themeColor="text1"/>
                <w14:textFill>
                  <w14:solidFill>
                    <w14:schemeClr w14:val="tx1"/>
                  </w14:solidFill>
                </w14:textFill>
              </w:rPr>
              <w:t xml:space="preserve">养殖场建设病死动物冷藏冷冻设施。 </w:t>
            </w:r>
          </w:p>
        </w:tc>
      </w:tr>
    </w:tbl>
    <w:p>
      <w:pPr>
        <w:pStyle w:val="2"/>
        <w:rPr>
          <w:rStyle w:val="37"/>
          <w:b/>
          <w:bCs/>
          <w:color w:val="000000" w:themeColor="text1"/>
          <w14:textFill>
            <w14:solidFill>
              <w14:schemeClr w14:val="tx1"/>
            </w14:solidFill>
          </w14:textFill>
        </w:rPr>
      </w:pPr>
      <w:bookmarkStart w:id="38" w:name="_Toc80215055"/>
      <w:bookmarkStart w:id="39" w:name="_Toc46756991"/>
      <w:r>
        <w:rPr>
          <w:rStyle w:val="37"/>
          <w:rFonts w:hint="eastAsia"/>
          <w:b/>
          <w:bCs/>
          <w:color w:val="000000" w:themeColor="text1"/>
          <w14:textFill>
            <w14:solidFill>
              <w14:schemeClr w14:val="tx1"/>
            </w14:solidFill>
          </w14:textFill>
        </w:rPr>
        <w:t>打造现代乳业全链条产业集群</w:t>
      </w:r>
      <w:bookmarkEnd w:id="38"/>
      <w:bookmarkEnd w:id="39"/>
    </w:p>
    <w:p>
      <w:pPr>
        <w:ind w:firstLine="560"/>
        <w:rPr>
          <w:rFonts w:ascii="Arial" w:hAnsi="Arial" w:cs="Arial"/>
          <w:color w:val="000000" w:themeColor="text1"/>
          <w:shd w:val="clear" w:color="auto" w:fill="FFFFFF"/>
          <w14:textFill>
            <w14:solidFill>
              <w14:schemeClr w14:val="tx1"/>
            </w14:solidFill>
          </w14:textFill>
        </w:rPr>
      </w:pPr>
      <w:r>
        <w:rPr>
          <w:rFonts w:hint="eastAsia" w:ascii="Arial" w:hAnsi="Arial" w:cs="Arial"/>
          <w:color w:val="000000" w:themeColor="text1"/>
          <w:shd w:val="clear" w:color="auto" w:fill="FFFFFF"/>
          <w14:textFill>
            <w14:solidFill>
              <w14:schemeClr w14:val="tx1"/>
            </w14:solidFill>
          </w14:textFill>
        </w:rPr>
        <w:t>鼓励和支持乳品企业做优做强，</w:t>
      </w:r>
      <w:r>
        <w:rPr>
          <w:rFonts w:hint="eastAsia"/>
          <w:color w:val="000000" w:themeColor="text1"/>
          <w14:textFill>
            <w14:solidFill>
              <w14:schemeClr w14:val="tx1"/>
            </w14:solidFill>
          </w14:textFill>
        </w:rPr>
        <w:t>充分发挥全产业链优势，着力打造伊利现代智慧健康谷、蒙牛中国乳业产业园两大现代乳业产业集群，</w:t>
      </w:r>
      <w:r>
        <w:rPr>
          <w:rFonts w:hint="eastAsia" w:ascii="Arial" w:hAnsi="Arial" w:cs="Arial"/>
          <w:color w:val="000000" w:themeColor="text1"/>
          <w:shd w:val="clear" w:color="auto" w:fill="FFFFFF"/>
          <w14:textFill>
            <w14:solidFill>
              <w14:schemeClr w14:val="tx1"/>
            </w14:solidFill>
          </w14:textFill>
        </w:rPr>
        <w:t>支持中小乳制品企业借助产业园发展，鼓励民族乳品特色化发展，加快大型乳品企业国际化发展，</w:t>
      </w:r>
      <w:r>
        <w:rPr>
          <w:rFonts w:hint="eastAsia"/>
          <w:color w:val="000000" w:themeColor="text1"/>
          <w14:textFill>
            <w14:solidFill>
              <w14:schemeClr w14:val="tx1"/>
            </w14:solidFill>
          </w14:textFill>
        </w:rPr>
        <w:t>以创新推进产业和产品升级，着力提高乳品质量安全和生产水平，进一步巩固提升乳都地位。</w:t>
      </w:r>
    </w:p>
    <w:p>
      <w:pPr>
        <w:pStyle w:val="3"/>
        <w:ind w:firstLine="643"/>
        <w:rPr>
          <w:color w:val="000000" w:themeColor="text1"/>
          <w14:textFill>
            <w14:solidFill>
              <w14:schemeClr w14:val="tx1"/>
            </w14:solidFill>
          </w14:textFill>
        </w:rPr>
      </w:pPr>
      <w:bookmarkStart w:id="40" w:name="_Toc80215056"/>
      <w:bookmarkStart w:id="41" w:name="_Toc51510941"/>
      <w:r>
        <w:rPr>
          <w:rFonts w:hint="eastAsia"/>
          <w:color w:val="000000" w:themeColor="text1"/>
          <w14:textFill>
            <w14:solidFill>
              <w14:schemeClr w14:val="tx1"/>
            </w14:solidFill>
          </w14:textFill>
        </w:rPr>
        <w:t>推进龙头企业加工提质增量</w:t>
      </w:r>
      <w:bookmarkEnd w:id="40"/>
      <w:bookmarkEnd w:id="41"/>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继续发挥伊利和蒙牛等龙头企业基础优势，大力推进乳产品龙头企业加工提质增量，稳步扩大乳制品加工能力。到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年，龙头企业研发出深加工新产品</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件，鲜奶日加工能力达到1.6万吨以上。</w:t>
      </w:r>
    </w:p>
    <w:p>
      <w:pPr>
        <w:pStyle w:val="4"/>
        <w:ind w:firstLine="562"/>
        <w:rPr>
          <w:color w:val="000000" w:themeColor="text1"/>
          <w14:textFill>
            <w14:solidFill>
              <w14:schemeClr w14:val="tx1"/>
            </w14:solidFill>
          </w14:textFill>
        </w:rPr>
      </w:pPr>
      <w:bookmarkStart w:id="42" w:name="_Toc46756993"/>
      <w:r>
        <w:rPr>
          <w:rFonts w:hint="eastAsia"/>
          <w:color w:val="000000" w:themeColor="text1"/>
          <w14:textFill>
            <w14:solidFill>
              <w14:schemeClr w14:val="tx1"/>
            </w14:solidFill>
          </w14:textFill>
        </w:rPr>
        <w:t>加快推进伊利智慧样板基地建设</w:t>
      </w:r>
    </w:p>
    <w:p>
      <w:pPr>
        <w:ind w:firstLine="560"/>
        <w:rPr>
          <w:b/>
          <w:color w:val="000000" w:themeColor="text1"/>
          <w:lang w:eastAsia="zh-TW"/>
          <w14:textFill>
            <w14:solidFill>
              <w14:schemeClr w14:val="tx1"/>
            </w14:solidFill>
          </w14:textFill>
        </w:rPr>
      </w:pPr>
      <w:r>
        <w:rPr>
          <w:rFonts w:hint="eastAsia"/>
          <w:color w:val="000000" w:themeColor="text1"/>
          <w14:textFill>
            <w14:solidFill>
              <w14:schemeClr w14:val="tx1"/>
            </w14:solidFill>
          </w14:textFill>
        </w:rPr>
        <w:t>新建一批液态奶、奶粉、低温奶生产线，打造婴幼儿配方奶粉及高附加值奶粉的生产基地。加大产品研发力度，优化加工工艺和产品结构，支持开展乳制品创新研发，扩大常温奶、巴氏杀菌乳、酸奶等液态奶制品产能，围绕低脂、无糖、绿色有机等需求</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研发低脂无糖功能奶、绿色有机奶等高端液态</w:t>
      </w:r>
      <w:r>
        <w:rPr>
          <w:color w:val="000000" w:themeColor="text1"/>
          <w14:textFill>
            <w14:solidFill>
              <w14:schemeClr w14:val="tx1"/>
            </w14:solidFill>
          </w14:textFill>
        </w:rPr>
        <w:t>乳产品</w:t>
      </w:r>
      <w:r>
        <w:rPr>
          <w:rFonts w:hint="eastAsia"/>
          <w:color w:val="000000" w:themeColor="text1"/>
          <w14:textFill>
            <w14:solidFill>
              <w14:schemeClr w14:val="tx1"/>
            </w14:solidFill>
          </w14:textFill>
        </w:rPr>
        <w:t>，探索开发民族乳制品产品</w:t>
      </w:r>
      <w:r>
        <w:rPr>
          <w:color w:val="000000" w:themeColor="text1"/>
          <w14:textFill>
            <w14:solidFill>
              <w14:schemeClr w14:val="tx1"/>
            </w14:solidFill>
          </w14:textFill>
        </w:rPr>
        <w:t>。</w:t>
      </w:r>
      <w:r>
        <w:rPr>
          <w:rFonts w:hint="eastAsia"/>
          <w:bCs/>
          <w:color w:val="000000" w:themeColor="text1"/>
          <w:lang w:eastAsia="zh-TW"/>
          <w14:textFill>
            <w14:solidFill>
              <w14:schemeClr w14:val="tx1"/>
            </w14:solidFill>
          </w14:textFill>
        </w:rPr>
        <w:t>到</w:t>
      </w:r>
      <w:r>
        <w:rPr>
          <w:rFonts w:hint="eastAsia"/>
          <w:bCs/>
          <w:color w:val="000000" w:themeColor="text1"/>
          <w14:textFill>
            <w14:solidFill>
              <w14:schemeClr w14:val="tx1"/>
            </w14:solidFill>
          </w14:textFill>
        </w:rPr>
        <w:t>2</w:t>
      </w:r>
      <w:r>
        <w:rPr>
          <w:bCs/>
          <w:color w:val="000000" w:themeColor="text1"/>
          <w14:textFill>
            <w14:solidFill>
              <w14:schemeClr w14:val="tx1"/>
            </w14:solidFill>
          </w14:textFill>
        </w:rPr>
        <w:t>025</w:t>
      </w:r>
      <w:r>
        <w:rPr>
          <w:rFonts w:hint="eastAsia"/>
          <w:bCs/>
          <w:color w:val="000000" w:themeColor="text1"/>
          <w14:textFill>
            <w14:solidFill>
              <w14:schemeClr w14:val="tx1"/>
            </w14:solidFill>
          </w14:textFill>
        </w:rPr>
        <w:t>年，新建</w:t>
      </w:r>
      <w:r>
        <w:rPr>
          <w:rFonts w:hint="eastAsia"/>
          <w:bCs/>
          <w:color w:val="000000" w:themeColor="text1"/>
          <w:lang w:eastAsia="zh-TW"/>
          <w14:textFill>
            <w14:solidFill>
              <w14:schemeClr w14:val="tx1"/>
            </w14:solidFill>
          </w14:textFill>
        </w:rPr>
        <w:t>日处理原料奶6500吨液态奶项目、年产6万吨婴儿粉项目、年产16万吨酸奶项目、年产5万吨冰淇淋项目和奶酪项目。</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加快提升蒙牛产业园乳制品加工能力</w:t>
      </w:r>
    </w:p>
    <w:p>
      <w:pPr>
        <w:ind w:firstLine="560"/>
        <w:rPr>
          <w:b/>
          <w:bCs/>
          <w:color w:val="000000" w:themeColor="text1"/>
          <w14:textFill>
            <w14:solidFill>
              <w14:schemeClr w14:val="tx1"/>
            </w14:solidFill>
          </w14:textFill>
        </w:rPr>
      </w:pPr>
      <w:r>
        <w:rPr>
          <w:rFonts w:hint="eastAsia"/>
          <w:color w:val="000000" w:themeColor="text1"/>
          <w14:textFill>
            <w14:solidFill>
              <w14:schemeClr w14:val="tx1"/>
            </w14:solidFill>
          </w14:textFill>
        </w:rPr>
        <w:t>依托蒙牛中国乳业产业园，建设日产能800吨的低温工厂，建设年产能3万吨的奶酪工场，以及日产能500吨的鲜奶工厂，形成包含常温、低温、奶粉、鲜奶、奶酪等乳业全业态，加大产品研发力度，优化加工工艺和产品结构，支持开展乳制品创新研发。</w:t>
      </w:r>
      <w:r>
        <w:rPr>
          <w:rFonts w:hint="eastAsia" w:cs="Times New Roman"/>
          <w:color w:val="000000" w:themeColor="text1"/>
          <w:szCs w:val="21"/>
          <w14:textFill>
            <w14:solidFill>
              <w14:schemeClr w14:val="tx1"/>
            </w14:solidFill>
          </w14:textFill>
        </w:rPr>
        <w:t>全面提升智能制造水平，采用先进、高新、尖端的技术，推进乳制品制造的信息化、透明化、智能化。</w:t>
      </w:r>
      <w:r>
        <w:rPr>
          <w:rFonts w:hint="eastAsia"/>
          <w:color w:val="000000" w:themeColor="text1"/>
          <w14:textFill>
            <w14:solidFill>
              <w14:schemeClr w14:val="tx1"/>
            </w14:solidFill>
          </w14:textFill>
        </w:rPr>
        <w:t>建设奶酪生产线，开发干酪、奶片、乳粉等产品，开发民族乳制品产品。</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加快完善乳业标准化建设</w:t>
      </w:r>
    </w:p>
    <w:p>
      <w:pPr>
        <w:ind w:firstLine="562"/>
        <w:rPr>
          <w:rFonts w:cs="Times New Roman" w:eastAsiaTheme="minorEastAsia"/>
          <w:color w:val="000000" w:themeColor="text1"/>
          <w14:textFill>
            <w14:solidFill>
              <w14:schemeClr w14:val="tx1"/>
            </w14:solidFill>
          </w14:textFill>
        </w:rPr>
      </w:pPr>
      <w:r>
        <w:rPr>
          <w:rFonts w:hint="eastAsia"/>
          <w:b/>
          <w:color w:val="000000" w:themeColor="text1"/>
          <w14:textFill>
            <w14:solidFill>
              <w14:schemeClr w14:val="tx1"/>
            </w14:solidFill>
          </w14:textFill>
        </w:rPr>
        <w:t>一是</w:t>
      </w:r>
      <w:r>
        <w:rPr>
          <w:rFonts w:hint="eastAsia" w:cs="Times New Roman" w:eastAsiaTheme="minorEastAsia"/>
          <w:b/>
          <w:color w:val="000000" w:themeColor="text1"/>
          <w14:textFill>
            <w14:solidFill>
              <w14:schemeClr w14:val="tx1"/>
            </w14:solidFill>
          </w14:textFill>
        </w:rPr>
        <w:t>推进全市乳业标准化体系建设。</w:t>
      </w:r>
      <w:r>
        <w:rPr>
          <w:rFonts w:hint="eastAsia" w:cs="Times New Roman" w:eastAsiaTheme="minorEastAsia"/>
          <w:color w:val="000000" w:themeColor="text1"/>
          <w14:textFill>
            <w14:solidFill>
              <w14:schemeClr w14:val="tx1"/>
            </w14:solidFill>
          </w14:textFill>
        </w:rPr>
        <w:t>从标准规划、标准制定、标准实施等方面同步展开，编制地方标准、行业标准、企业标准，加强乳业生产高质量标准体系建设；加大标准的实施力度。围绕生产管理、技术研发、设备管理、质量管理、财务管理等方面，完善标准体系，制订相关标准</w:t>
      </w:r>
      <w:r>
        <w:rPr>
          <w:rFonts w:cs="Times New Roman" w:eastAsiaTheme="minorEastAsia"/>
          <w:color w:val="000000" w:themeColor="text1"/>
          <w14:textFill>
            <w14:solidFill>
              <w14:schemeClr w14:val="tx1"/>
            </w14:solidFill>
          </w14:textFill>
        </w:rPr>
        <w:t>10</w:t>
      </w:r>
      <w:r>
        <w:rPr>
          <w:rFonts w:hint="eastAsia" w:cs="Times New Roman" w:eastAsiaTheme="minorEastAsia"/>
          <w:color w:val="000000" w:themeColor="text1"/>
          <w14:textFill>
            <w14:solidFill>
              <w14:schemeClr w14:val="tx1"/>
            </w14:solidFill>
          </w14:textFill>
        </w:rPr>
        <w:t>项，增强企业核心竞争力，推进企业转型升级。</w:t>
      </w:r>
    </w:p>
    <w:p>
      <w:pPr>
        <w:ind w:firstLine="562"/>
        <w:rPr>
          <w:rFonts w:cs="Times New Roman" w:eastAsiaTheme="minorEastAsia"/>
          <w:color w:val="000000" w:themeColor="text1"/>
          <w14:textFill>
            <w14:solidFill>
              <w14:schemeClr w14:val="tx1"/>
            </w14:solidFill>
          </w14:textFill>
        </w:rPr>
      </w:pPr>
      <w:r>
        <w:rPr>
          <w:rFonts w:hint="eastAsia" w:cs="Times New Roman" w:eastAsiaTheme="minorEastAsia"/>
          <w:b/>
          <w:color w:val="000000" w:themeColor="text1"/>
          <w14:textFill>
            <w14:solidFill>
              <w14:schemeClr w14:val="tx1"/>
            </w14:solidFill>
          </w14:textFill>
        </w:rPr>
        <w:t>二是</w:t>
      </w:r>
      <w:bookmarkStart w:id="43" w:name="_Hlk72706212"/>
      <w:r>
        <w:rPr>
          <w:rFonts w:hint="eastAsia"/>
          <w:b/>
          <w:color w:val="000000" w:themeColor="text1"/>
          <w14:textFill>
            <w14:solidFill>
              <w14:schemeClr w14:val="tx1"/>
            </w14:solidFill>
          </w14:textFill>
        </w:rPr>
        <w:t>加强企业标准化管理</w:t>
      </w:r>
      <w:bookmarkEnd w:id="43"/>
      <w:r>
        <w:rPr>
          <w:rFonts w:hint="eastAsia"/>
          <w:b/>
          <w:color w:val="000000" w:themeColor="text1"/>
          <w14:textFill>
            <w14:solidFill>
              <w14:schemeClr w14:val="tx1"/>
            </w14:solidFill>
          </w14:textFill>
        </w:rPr>
        <w:t>。</w:t>
      </w:r>
      <w:r>
        <w:rPr>
          <w:rFonts w:hint="eastAsia" w:cs="Times New Roman" w:eastAsiaTheme="minorEastAsia"/>
          <w:color w:val="000000" w:themeColor="text1"/>
          <w14:textFill>
            <w14:solidFill>
              <w14:schemeClr w14:val="tx1"/>
            </w14:solidFill>
          </w14:textFill>
        </w:rPr>
        <w:t>引导</w:t>
      </w:r>
      <w:r>
        <w:rPr>
          <w:rFonts w:cs="Times New Roman" w:eastAsiaTheme="minorEastAsia"/>
          <w:color w:val="000000" w:themeColor="text1"/>
          <w14:textFill>
            <w14:solidFill>
              <w14:schemeClr w14:val="tx1"/>
            </w14:solidFill>
          </w14:textFill>
        </w:rPr>
        <w:t>企业</w:t>
      </w:r>
      <w:r>
        <w:rPr>
          <w:rFonts w:hint="eastAsia" w:cs="Times New Roman" w:eastAsiaTheme="minorEastAsia"/>
          <w:color w:val="000000" w:themeColor="text1"/>
          <w14:textFill>
            <w14:solidFill>
              <w14:schemeClr w14:val="tx1"/>
            </w14:solidFill>
          </w14:textFill>
        </w:rPr>
        <w:t>以</w:t>
      </w:r>
      <w:r>
        <w:rPr>
          <w:rFonts w:cs="Times New Roman" w:eastAsiaTheme="minorEastAsia"/>
          <w:color w:val="000000" w:themeColor="text1"/>
          <w14:textFill>
            <w14:solidFill>
              <w14:schemeClr w14:val="tx1"/>
            </w14:solidFill>
          </w14:textFill>
        </w:rPr>
        <w:t>提高产品质量为</w:t>
      </w:r>
      <w:r>
        <w:rPr>
          <w:rFonts w:hint="eastAsia" w:cs="Times New Roman" w:eastAsiaTheme="minorEastAsia"/>
          <w:color w:val="000000" w:themeColor="text1"/>
          <w14:textFill>
            <w14:solidFill>
              <w14:schemeClr w14:val="tx1"/>
            </w14:solidFill>
          </w14:textFill>
        </w:rPr>
        <w:t>重点</w:t>
      </w:r>
      <w:r>
        <w:rPr>
          <w:rFonts w:cs="Times New Roman" w:eastAsiaTheme="minorEastAsia"/>
          <w:color w:val="000000" w:themeColor="text1"/>
          <w14:textFill>
            <w14:solidFill>
              <w14:schemeClr w14:val="tx1"/>
            </w14:solidFill>
          </w14:textFill>
        </w:rPr>
        <w:t>，</w:t>
      </w:r>
      <w:r>
        <w:rPr>
          <w:rFonts w:hint="eastAsia" w:cs="Times New Roman" w:eastAsiaTheme="minorEastAsia"/>
          <w:color w:val="000000" w:themeColor="text1"/>
          <w14:textFill>
            <w14:solidFill>
              <w14:schemeClr w14:val="tx1"/>
            </w14:solidFill>
          </w14:textFill>
        </w:rPr>
        <w:t>依托</w:t>
      </w:r>
      <w:r>
        <w:rPr>
          <w:rFonts w:cs="Times New Roman" w:eastAsiaTheme="minorEastAsia"/>
          <w:color w:val="000000" w:themeColor="text1"/>
          <w14:textFill>
            <w14:solidFill>
              <w14:schemeClr w14:val="tx1"/>
            </w14:solidFill>
          </w14:textFill>
        </w:rPr>
        <w:t>标准化体制</w:t>
      </w:r>
      <w:r>
        <w:rPr>
          <w:rFonts w:hint="eastAsia" w:cs="Times New Roman" w:eastAsiaTheme="minorEastAsia"/>
          <w:color w:val="000000" w:themeColor="text1"/>
          <w14:textFill>
            <w14:solidFill>
              <w14:schemeClr w14:val="tx1"/>
            </w14:solidFill>
          </w14:textFill>
        </w:rPr>
        <w:t>建立标准化</w:t>
      </w:r>
      <w:r>
        <w:rPr>
          <w:rFonts w:cs="Times New Roman" w:eastAsiaTheme="minorEastAsia"/>
          <w:color w:val="000000" w:themeColor="text1"/>
          <w14:textFill>
            <w14:solidFill>
              <w14:schemeClr w14:val="tx1"/>
            </w14:solidFill>
          </w14:textFill>
        </w:rPr>
        <w:t>运行工作机制，</w:t>
      </w:r>
      <w:r>
        <w:rPr>
          <w:rFonts w:hint="eastAsia" w:cs="Times New Roman" w:eastAsiaTheme="minorEastAsia"/>
          <w:color w:val="000000" w:themeColor="text1"/>
          <w14:textFill>
            <w14:solidFill>
              <w14:schemeClr w14:val="tx1"/>
            </w14:solidFill>
          </w14:textFill>
        </w:rPr>
        <w:t>通过</w:t>
      </w:r>
      <w:r>
        <w:rPr>
          <w:rFonts w:cs="Times New Roman" w:eastAsiaTheme="minorEastAsia"/>
          <w:color w:val="000000" w:themeColor="text1"/>
          <w14:textFill>
            <w14:solidFill>
              <w14:schemeClr w14:val="tx1"/>
            </w14:solidFill>
          </w14:textFill>
        </w:rPr>
        <w:t>推进质量管理和质量保证体系，</w:t>
      </w:r>
      <w:r>
        <w:rPr>
          <w:rFonts w:hint="eastAsia" w:cs="Times New Roman" w:eastAsiaTheme="minorEastAsia"/>
          <w:color w:val="000000" w:themeColor="text1"/>
          <w14:textFill>
            <w14:solidFill>
              <w14:schemeClr w14:val="tx1"/>
            </w14:solidFill>
          </w14:textFill>
        </w:rPr>
        <w:t>建立</w:t>
      </w:r>
      <w:r>
        <w:rPr>
          <w:rFonts w:cs="Times New Roman" w:eastAsiaTheme="minorEastAsia"/>
          <w:color w:val="000000" w:themeColor="text1"/>
          <w14:textFill>
            <w14:solidFill>
              <w14:schemeClr w14:val="tx1"/>
            </w14:solidFill>
          </w14:textFill>
        </w:rPr>
        <w:t>以操作标准为主体的工作</w:t>
      </w:r>
      <w:r>
        <w:rPr>
          <w:rFonts w:hint="eastAsia" w:cs="Times New Roman" w:eastAsiaTheme="minorEastAsia"/>
          <w:color w:val="000000" w:themeColor="text1"/>
          <w14:textFill>
            <w14:solidFill>
              <w14:schemeClr w14:val="tx1"/>
            </w14:solidFill>
          </w14:textFill>
        </w:rPr>
        <w:t>标准</w:t>
      </w:r>
      <w:r>
        <w:rPr>
          <w:rFonts w:cs="Times New Roman" w:eastAsiaTheme="minorEastAsia"/>
          <w:color w:val="000000" w:themeColor="text1"/>
          <w14:textFill>
            <w14:solidFill>
              <w14:schemeClr w14:val="tx1"/>
            </w14:solidFill>
          </w14:textFill>
        </w:rPr>
        <w:t>体系，</w:t>
      </w:r>
      <w:r>
        <w:rPr>
          <w:rFonts w:hint="eastAsia" w:cs="Times New Roman" w:eastAsiaTheme="minorEastAsia"/>
          <w:color w:val="000000" w:themeColor="text1"/>
          <w14:textFill>
            <w14:solidFill>
              <w14:schemeClr w14:val="tx1"/>
            </w14:solidFill>
          </w14:textFill>
        </w:rPr>
        <w:t>把</w:t>
      </w:r>
      <w:r>
        <w:rPr>
          <w:rFonts w:cs="Times New Roman" w:eastAsiaTheme="minorEastAsia"/>
          <w:color w:val="000000" w:themeColor="text1"/>
          <w14:textFill>
            <w14:solidFill>
              <w14:schemeClr w14:val="tx1"/>
            </w14:solidFill>
          </w14:textFill>
        </w:rPr>
        <w:t>企业的生产活动和管理业务联系起来，把执行标准的各项任务纳入到各部门和各岗位的责任制中</w:t>
      </w:r>
      <w:r>
        <w:rPr>
          <w:rFonts w:hint="eastAsia" w:cs="Times New Roman" w:eastAsia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支持</w:t>
      </w:r>
      <w:r>
        <w:rPr>
          <w:color w:val="000000" w:themeColor="text1"/>
          <w14:textFill>
            <w14:solidFill>
              <w14:schemeClr w14:val="tx1"/>
            </w14:solidFill>
          </w14:textFill>
        </w:rPr>
        <w:t>企业建立</w:t>
      </w:r>
      <w:r>
        <w:rPr>
          <w:rFonts w:hint="eastAsia"/>
          <w:color w:val="000000" w:themeColor="text1"/>
          <w14:textFill>
            <w14:solidFill>
              <w14:schemeClr w14:val="tx1"/>
            </w14:solidFill>
          </w14:textFill>
        </w:rPr>
        <w:t>质量安全追溯体系，严格乳制品产地环境、投入品使用、生产过程、产品质量全程监控，杜绝不合格产品进入市场，</w:t>
      </w:r>
      <w:r>
        <w:rPr>
          <w:rFonts w:hint="eastAsia" w:cs="Times New Roman" w:eastAsiaTheme="minorEastAsia"/>
          <w:color w:val="000000" w:themeColor="text1"/>
          <w14:textFill>
            <w14:solidFill>
              <w14:schemeClr w14:val="tx1"/>
            </w14:solidFill>
          </w14:textFill>
        </w:rPr>
        <w:t>保障乳制品生产标准化、乳产品质量安全。</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提升奶制品市场竞争力</w:t>
      </w:r>
    </w:p>
    <w:p>
      <w:pPr>
        <w:ind w:firstLine="560"/>
        <w:rPr>
          <w:rFonts w:cs="Times New Roman" w:eastAsiaTheme="minorEastAsia"/>
          <w:color w:val="000000" w:themeColor="text1"/>
          <w14:textFill>
            <w14:solidFill>
              <w14:schemeClr w14:val="tx1"/>
            </w14:solidFill>
          </w14:textFill>
        </w:rPr>
      </w:pPr>
      <w:r>
        <w:rPr>
          <w:rFonts w:hint="eastAsia" w:cs="Times New Roman" w:eastAsiaTheme="minorEastAsia"/>
          <w:color w:val="000000" w:themeColor="text1"/>
          <w14:textFill>
            <w14:solidFill>
              <w14:schemeClr w14:val="tx1"/>
            </w14:solidFill>
          </w14:textFill>
        </w:rPr>
        <w:t>保持常温液态奶、低温发酵乳、婴幼儿配方奶粉等主导产品市场优势，鼓励研发适合中国婴幼儿的产品，培育具有国际影响力和竞争力的国产婴幼儿配方乳粉品牌，严格执行婴幼儿配方乳粉法规标准，加大质量安全监管力度，落实产品配方注册管理制度。大力发展巴氏杀菌乳（HTST），提高本土乳业应对进口奶市场冲击的竞争力。进一步提升巴氏杀菌工艺水平，发展全营养、高活性的巴氏杀菌乳产品，引导自然、鲜活、纯正的优质巴氏奶消费理念。采用高新技术、现代生物科技，针对不同市场需求，开发常温酸奶、个性化配方奶粉、功能性乳制品、有机牛奶等新型乳制品，通过研发生产“高品质、高附加值”的“双高”产品，提升产业附加值。</w:t>
      </w:r>
    </w:p>
    <w:p>
      <w:pPr>
        <w:pStyle w:val="3"/>
        <w:ind w:firstLine="643"/>
        <w:rPr>
          <w:color w:val="000000" w:themeColor="text1"/>
          <w:shd w:val="clear" w:color="auto" w:fill="FFFFFF"/>
          <w14:textFill>
            <w14:solidFill>
              <w14:schemeClr w14:val="tx1"/>
            </w14:solidFill>
          </w14:textFill>
        </w:rPr>
      </w:pPr>
      <w:bookmarkStart w:id="44" w:name="_Toc51510942"/>
      <w:bookmarkStart w:id="45" w:name="_Toc80215057"/>
      <w:r>
        <w:rPr>
          <w:rFonts w:hint="eastAsia"/>
          <w:color w:val="000000" w:themeColor="text1"/>
          <w:shd w:val="clear" w:color="auto" w:fill="FFFFFF"/>
          <w14:textFill>
            <w14:solidFill>
              <w14:schemeClr w14:val="tx1"/>
            </w14:solidFill>
          </w14:textFill>
        </w:rPr>
        <w:t>提升中小乳企业</w:t>
      </w:r>
      <w:bookmarkEnd w:id="42"/>
      <w:bookmarkEnd w:id="44"/>
      <w:r>
        <w:rPr>
          <w:rFonts w:hint="eastAsia"/>
          <w:color w:val="000000" w:themeColor="text1"/>
          <w:shd w:val="clear" w:color="auto" w:fill="FFFFFF"/>
          <w14:textFill>
            <w14:solidFill>
              <w14:schemeClr w14:val="tx1"/>
            </w14:solidFill>
          </w14:textFill>
        </w:rPr>
        <w:t>生产加工水平</w:t>
      </w:r>
      <w:bookmarkEnd w:id="45"/>
    </w:p>
    <w:p>
      <w:pPr>
        <w:ind w:firstLine="56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按照品牌强乳的发展思路，加强中小乳产品标准化、优质化、品牌化建设，推动生乳和初级产品向精深加工产品转变，</w:t>
      </w:r>
      <w:r>
        <w:rPr>
          <w:rFonts w:hint="eastAsia"/>
          <w:color w:val="000000" w:themeColor="text1"/>
          <w14:textFill>
            <w14:solidFill>
              <w14:schemeClr w14:val="tx1"/>
            </w14:solidFill>
          </w14:textFill>
        </w:rPr>
        <w:t>培育一批产品质量优的民族奶食品企业。</w:t>
      </w:r>
      <w:r>
        <w:rPr>
          <w:rFonts w:hint="eastAsia" w:cs="Times New Roman"/>
          <w:color w:val="000000" w:themeColor="text1"/>
          <w14:textFill>
            <w14:solidFill>
              <w14:schemeClr w14:val="tx1"/>
            </w14:solidFill>
          </w14:textFill>
        </w:rPr>
        <w:t>到</w:t>
      </w:r>
      <w:r>
        <w:rPr>
          <w:rFonts w:cs="Times New Roman"/>
          <w:color w:val="000000" w:themeColor="text1"/>
          <w14:textFill>
            <w14:solidFill>
              <w14:schemeClr w14:val="tx1"/>
            </w14:solidFill>
          </w14:textFill>
        </w:rPr>
        <w:t>2025</w:t>
      </w:r>
      <w:r>
        <w:rPr>
          <w:rFonts w:hint="eastAsia" w:cs="Times New Roman"/>
          <w:color w:val="000000" w:themeColor="text1"/>
          <w14:textFill>
            <w14:solidFill>
              <w14:schemeClr w14:val="tx1"/>
            </w14:solidFill>
          </w14:textFill>
        </w:rPr>
        <w:t>年，发展中小型乳制品企业</w:t>
      </w:r>
      <w:r>
        <w:rPr>
          <w:rFonts w:cs="Times New Roman"/>
          <w:color w:val="000000" w:themeColor="text1"/>
          <w14:textFill>
            <w14:solidFill>
              <w14:schemeClr w14:val="tx1"/>
            </w14:solidFill>
          </w14:textFill>
        </w:rPr>
        <w:t>20</w:t>
      </w:r>
      <w:r>
        <w:rPr>
          <w:rFonts w:hint="eastAsia" w:cs="Times New Roman"/>
          <w:color w:val="000000" w:themeColor="text1"/>
          <w14:textFill>
            <w14:solidFill>
              <w14:schemeClr w14:val="tx1"/>
            </w14:solidFill>
          </w14:textFill>
        </w:rPr>
        <w:t>家，总产值达到</w:t>
      </w:r>
      <w:r>
        <w:rPr>
          <w:rFonts w:cs="Times New Roman"/>
          <w:color w:val="000000" w:themeColor="text1"/>
          <w14:textFill>
            <w14:solidFill>
              <w14:schemeClr w14:val="tx1"/>
            </w14:solidFill>
          </w14:textFill>
        </w:rPr>
        <w:t>10</w:t>
      </w:r>
      <w:r>
        <w:rPr>
          <w:rFonts w:hint="eastAsia" w:cs="Times New Roman"/>
          <w:color w:val="000000" w:themeColor="text1"/>
          <w14:textFill>
            <w14:solidFill>
              <w14:schemeClr w14:val="tx1"/>
            </w14:solidFill>
          </w14:textFill>
        </w:rPr>
        <w:t>亿元。</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推动中小型乳企多元发展</w:t>
      </w:r>
    </w:p>
    <w:p>
      <w:pPr>
        <w:ind w:firstLine="562"/>
        <w:rPr>
          <w:color w:val="000000" w:themeColor="text1"/>
          <w14:textFill>
            <w14:solidFill>
              <w14:schemeClr w14:val="tx1"/>
            </w14:solidFill>
          </w14:textFill>
        </w:rPr>
      </w:pPr>
      <w:r>
        <w:rPr>
          <w:rFonts w:hint="eastAsia"/>
          <w:b/>
          <w:color w:val="000000" w:themeColor="text1"/>
          <w14:textFill>
            <w14:solidFill>
              <w14:schemeClr w14:val="tx1"/>
            </w14:solidFill>
          </w14:textFill>
        </w:rPr>
        <w:t>一是大力发展羊奶制品。</w:t>
      </w:r>
      <w:r>
        <w:rPr>
          <w:rFonts w:hint="eastAsia"/>
          <w:color w:val="000000" w:themeColor="text1"/>
          <w14:textFill>
            <w14:solidFill>
              <w14:schemeClr w14:val="tx1"/>
            </w14:solidFill>
          </w14:textFill>
        </w:rPr>
        <w:t>支持羊乳企业建立奶源生产及加工基地，加大羊奶产品研发力度，特别是婴幼儿配方奶粉的</w:t>
      </w:r>
      <w:r>
        <w:rPr>
          <w:color w:val="000000" w:themeColor="text1"/>
          <w14:textFill>
            <w14:solidFill>
              <w14:schemeClr w14:val="tx1"/>
            </w14:solidFill>
          </w14:textFill>
        </w:rPr>
        <w:t>研发</w:t>
      </w:r>
      <w:r>
        <w:rPr>
          <w:rFonts w:hint="eastAsia"/>
          <w:color w:val="000000" w:themeColor="text1"/>
          <w14:textFill>
            <w14:solidFill>
              <w14:schemeClr w14:val="tx1"/>
            </w14:solidFill>
          </w14:textFill>
        </w:rPr>
        <w:t>，制定加工工艺流程标准，提高加工质量标准，鼓励企业研发及引进先进生产技术及配套设施设备，建立标准化羊奶制品生产体系</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至</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年，建成全市羊奶制品生产线</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条，羊奶生产达到标准化、规模化。</w:t>
      </w:r>
    </w:p>
    <w:p>
      <w:pPr>
        <w:ind w:firstLine="562"/>
        <w:rPr>
          <w:color w:val="000000" w:themeColor="text1"/>
          <w14:textFill>
            <w14:solidFill>
              <w14:schemeClr w14:val="tx1"/>
            </w14:solidFill>
          </w14:textFill>
        </w:rPr>
      </w:pPr>
      <w:r>
        <w:rPr>
          <w:rFonts w:hint="eastAsia"/>
          <w:b/>
          <w:color w:val="000000" w:themeColor="text1"/>
          <w14:textFill>
            <w14:solidFill>
              <w14:schemeClr w14:val="tx1"/>
            </w14:solidFill>
          </w14:textFill>
        </w:rPr>
        <w:t>二是培育一批中小型乳产品深加工领军企业。</w:t>
      </w:r>
      <w:r>
        <w:rPr>
          <w:rFonts w:hint="eastAsia"/>
          <w:color w:val="000000" w:themeColor="text1"/>
          <w14:textFill>
            <w14:solidFill>
              <w14:schemeClr w14:val="tx1"/>
            </w14:solidFill>
          </w14:textFill>
        </w:rPr>
        <w:t>鼓励中小企业引进先进生产技术及设备，扶持有一定基础的生产企业改造升级；设立中小乳企业成长专项资金，对产品创新力度强，生产力水平高，成长速度快的中小企业进行支持；指导对已获得生产许可的企业，引导申请</w:t>
      </w:r>
      <w:r>
        <w:rPr>
          <w:color w:val="000000" w:themeColor="text1"/>
          <w14:textFill>
            <w14:solidFill>
              <w14:schemeClr w14:val="tx1"/>
            </w14:solidFill>
          </w14:textFill>
        </w:rPr>
        <w:t>ISO9000</w:t>
      </w:r>
      <w:r>
        <w:rPr>
          <w:rFonts w:hint="eastAsia"/>
          <w:color w:val="000000" w:themeColor="text1"/>
          <w14:textFill>
            <w14:solidFill>
              <w14:schemeClr w14:val="tx1"/>
            </w14:solidFill>
          </w14:textFill>
        </w:rPr>
        <w:t>质量管理体系认证和</w:t>
      </w:r>
      <w:r>
        <w:rPr>
          <w:color w:val="000000" w:themeColor="text1"/>
          <w14:textFill>
            <w14:solidFill>
              <w14:schemeClr w14:val="tx1"/>
            </w14:solidFill>
          </w14:textFill>
        </w:rPr>
        <w:t>HACCP</w:t>
      </w:r>
      <w:r>
        <w:rPr>
          <w:rFonts w:hint="eastAsia"/>
          <w:color w:val="000000" w:themeColor="text1"/>
          <w14:textFill>
            <w14:solidFill>
              <w14:schemeClr w14:val="tx1"/>
            </w14:solidFill>
          </w14:textFill>
        </w:rPr>
        <w:t>食品安全管理认证。至2025年，支持发展中小型乳制品企业20家。</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打造民族乳制品企业试点示范</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完善市场准入机制，优化民族传统奶制品生产加工许可、登记服务。推动民族特色奶食品加工标准化改造提升，引导乳制品企业研发奶豆腐、奶皮子、策格、楚拉等民族特色加工产品。支持民族奶制品手工作坊标准化升级改造试点，新建一批特色民族乳制品生产线，提高现代化生产水平，开展生产设施、加工制作、冷链运输、卫生管理等方面的标准化建设。完善民族特色乳制品奶源、加工工艺、产品标准体系和</w:t>
      </w:r>
      <w:r>
        <w:rPr>
          <w:color w:val="000000" w:themeColor="text1"/>
          <w14:textFill>
            <w14:solidFill>
              <w14:schemeClr w14:val="tx1"/>
            </w14:solidFill>
          </w14:textFill>
        </w:rPr>
        <w:t>SC</w:t>
      </w:r>
      <w:r>
        <w:rPr>
          <w:rFonts w:hint="eastAsia"/>
          <w:color w:val="000000" w:themeColor="text1"/>
          <w14:textFill>
            <w14:solidFill>
              <w14:schemeClr w14:val="tx1"/>
            </w14:solidFill>
          </w14:textFill>
        </w:rPr>
        <w:t>认证。总结出一批可复制可推广的模式，培育</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个以上产品质量优、文化特色浓、品牌信誉高的民族奶食品加工厂点。</w:t>
      </w:r>
    </w:p>
    <w:p>
      <w:pPr>
        <w:pStyle w:val="3"/>
        <w:ind w:firstLine="643"/>
        <w:rPr>
          <w:color w:val="000000" w:themeColor="text1"/>
          <w14:textFill>
            <w14:solidFill>
              <w14:schemeClr w14:val="tx1"/>
            </w14:solidFill>
          </w14:textFill>
        </w:rPr>
      </w:pPr>
      <w:bookmarkStart w:id="46" w:name="_Toc80215058"/>
      <w:bookmarkStart w:id="47" w:name="_Toc51510943"/>
      <w:r>
        <w:rPr>
          <w:rFonts w:hint="eastAsia"/>
          <w:color w:val="000000" w:themeColor="text1"/>
          <w14:textFill>
            <w14:solidFill>
              <w14:schemeClr w14:val="tx1"/>
            </w14:solidFill>
          </w14:textFill>
        </w:rPr>
        <w:t>打造乳业智能冷链物流体系</w:t>
      </w:r>
      <w:bookmarkEnd w:id="46"/>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以全链条、快速化为导向，</w:t>
      </w:r>
      <w:r>
        <w:rPr>
          <w:rFonts w:hint="eastAsia" w:cs="Times New Roman"/>
          <w:color w:val="000000" w:themeColor="text1"/>
          <w14:textFill>
            <w14:solidFill>
              <w14:schemeClr w14:val="tx1"/>
            </w14:solidFill>
          </w14:textFill>
        </w:rPr>
        <w:t>打造现代乳业智能物流中心，</w:t>
      </w:r>
      <w:r>
        <w:rPr>
          <w:rFonts w:hint="eastAsia"/>
          <w:color w:val="000000" w:themeColor="text1"/>
          <w14:textFill>
            <w14:solidFill>
              <w14:schemeClr w14:val="tx1"/>
            </w14:solidFill>
          </w14:textFill>
        </w:rPr>
        <w:t>大力发展冷链物流，加快建设覆盖全市乳产品主产旗（县、区）和消费地的冷链物流基础设施。到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年，建成</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万吨冷库，基本建立现代乳业低碳绿色物流服务体系。</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打造智能物流中心</w:t>
      </w:r>
    </w:p>
    <w:p>
      <w:pPr>
        <w:ind w:firstLine="560"/>
        <w:rPr>
          <w:color w:val="000000" w:themeColor="text1"/>
          <w:highlight w:val="yellow"/>
          <w14:textFill>
            <w14:solidFill>
              <w14:schemeClr w14:val="tx1"/>
            </w14:solidFill>
          </w14:textFill>
        </w:rPr>
      </w:pPr>
      <w:r>
        <w:rPr>
          <w:rFonts w:hint="eastAsia"/>
          <w:color w:val="000000" w:themeColor="text1"/>
          <w:szCs w:val="30"/>
          <w14:textFill>
            <w14:solidFill>
              <w14:schemeClr w14:val="tx1"/>
            </w14:solidFill>
          </w14:textFill>
        </w:rPr>
        <w:t>以伊利智慧健康谷和蒙牛乳业产业园为核心，建设物流仓储基地，新建20万吨冷库，</w:t>
      </w:r>
      <w:r>
        <w:rPr>
          <w:rFonts w:hint="eastAsia"/>
          <w:color w:val="000000" w:themeColor="text1"/>
          <w14:textFill>
            <w14:solidFill>
              <w14:schemeClr w14:val="tx1"/>
            </w14:solidFill>
          </w14:textFill>
        </w:rPr>
        <w:t>建设智能化物流系统，推广集装和单元化装载、射频识别（</w:t>
      </w:r>
      <w:r>
        <w:rPr>
          <w:color w:val="000000" w:themeColor="text1"/>
          <w14:textFill>
            <w14:solidFill>
              <w14:schemeClr w14:val="tx1"/>
            </w14:solidFill>
          </w14:textFill>
        </w:rPr>
        <w:t>RFID</w:t>
      </w:r>
      <w:r>
        <w:rPr>
          <w:rFonts w:hint="eastAsia"/>
          <w:color w:val="000000" w:themeColor="text1"/>
          <w14:textFill>
            <w14:solidFill>
              <w14:schemeClr w14:val="tx1"/>
            </w14:solidFill>
          </w14:textFill>
        </w:rPr>
        <w:t>）、电子数据交换（</w:t>
      </w:r>
      <w:r>
        <w:rPr>
          <w:color w:val="000000" w:themeColor="text1"/>
          <w14:textFill>
            <w14:solidFill>
              <w14:schemeClr w14:val="tx1"/>
            </w14:solidFill>
          </w14:textFill>
        </w:rPr>
        <w:t>EDI</w:t>
      </w:r>
      <w:r>
        <w:rPr>
          <w:rFonts w:hint="eastAsia"/>
          <w:color w:val="000000" w:themeColor="text1"/>
          <w14:textFill>
            <w14:solidFill>
              <w14:schemeClr w14:val="tx1"/>
            </w14:solidFill>
          </w14:textFill>
        </w:rPr>
        <w:t>）、货物跟踪、自动分拣、自动导引车辆（</w:t>
      </w:r>
      <w:r>
        <w:rPr>
          <w:color w:val="000000" w:themeColor="text1"/>
          <w14:textFill>
            <w14:solidFill>
              <w14:schemeClr w14:val="tx1"/>
            </w14:solidFill>
          </w14:textFill>
        </w:rPr>
        <w:t>AGV</w:t>
      </w:r>
      <w:r>
        <w:rPr>
          <w:rFonts w:hint="eastAsia"/>
          <w:color w:val="000000" w:themeColor="text1"/>
          <w14:textFill>
            <w14:solidFill>
              <w14:schemeClr w14:val="tx1"/>
            </w14:solidFill>
          </w14:textFill>
        </w:rPr>
        <w:t>）等物流新技术，提高为乳业发展提供优质的配送渠道。</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大力发展冷链物流</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依托农产品集中交易市场，加强乳制品冷链物流能力建设，完善储藏、加工、运输和配送等冷链物流设施，每个旗县区新建1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2个冷链物流中转站，形成“旗县区物流集散中心+街镇基地批发中心”的两级流通体系，并实现与北京、天津等目标市场大型物流园的对接。</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完善市场销售体系</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依托和林格尔县、托克托县、清水河县、武川县四个国家级农村电子商务示范县，遵循</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智慧管理、产品追溯、风险管控、信息共享”的原则，优化乳品生产、加工和销售输出等环节间的协作模式。</w:t>
      </w:r>
    </w:p>
    <w:bookmarkEnd w:id="47"/>
    <w:p>
      <w:pPr>
        <w:pStyle w:val="3"/>
        <w:ind w:firstLine="643"/>
        <w:rPr>
          <w:color w:val="000000" w:themeColor="text1"/>
          <w14:textFill>
            <w14:solidFill>
              <w14:schemeClr w14:val="tx1"/>
            </w14:solidFill>
          </w14:textFill>
        </w:rPr>
      </w:pPr>
      <w:bookmarkStart w:id="48" w:name="_Toc78735836"/>
      <w:bookmarkEnd w:id="48"/>
      <w:bookmarkStart w:id="49" w:name="_Toc78735837"/>
      <w:bookmarkEnd w:id="49"/>
      <w:bookmarkStart w:id="50" w:name="_Toc78735835"/>
      <w:bookmarkEnd w:id="50"/>
      <w:bookmarkStart w:id="51" w:name="_Toc78735833"/>
      <w:bookmarkEnd w:id="51"/>
      <w:bookmarkStart w:id="52" w:name="_Toc78735832"/>
      <w:bookmarkEnd w:id="52"/>
      <w:bookmarkStart w:id="53" w:name="_Toc78735834"/>
      <w:bookmarkEnd w:id="53"/>
      <w:bookmarkStart w:id="54" w:name="_Toc80215059"/>
      <w:r>
        <w:rPr>
          <w:rFonts w:hint="eastAsia"/>
          <w:color w:val="000000" w:themeColor="text1"/>
          <w14:textFill>
            <w14:solidFill>
              <w14:schemeClr w14:val="tx1"/>
            </w14:solidFill>
          </w14:textFill>
        </w:rPr>
        <w:t>做大智能制造业发展</w:t>
      </w:r>
      <w:bookmarkEnd w:id="54"/>
    </w:p>
    <w:p>
      <w:pPr>
        <w:ind w:firstLine="560"/>
        <w:rPr>
          <w:color w:val="000000" w:themeColor="text1"/>
          <w:szCs w:val="30"/>
          <w14:textFill>
            <w14:solidFill>
              <w14:schemeClr w14:val="tx1"/>
            </w14:solidFill>
          </w14:textFill>
        </w:rPr>
      </w:pPr>
      <w:r>
        <w:rPr>
          <w:rFonts w:hint="eastAsia"/>
          <w:color w:val="000000" w:themeColor="text1"/>
          <w14:textFill>
            <w14:solidFill>
              <w14:schemeClr w14:val="tx1"/>
            </w14:solidFill>
          </w14:textFill>
        </w:rPr>
        <w:t>推进现代要素集聚，大力发展现代乳业上下游配套制造业，延伸产业链条，促进主体融合、业态融合和利益融合，到2</w:t>
      </w:r>
      <w:r>
        <w:rPr>
          <w:color w:val="000000" w:themeColor="text1"/>
          <w14:textFill>
            <w14:solidFill>
              <w14:schemeClr w14:val="tx1"/>
            </w14:solidFill>
          </w14:textFill>
        </w:rPr>
        <w:t>025</w:t>
      </w:r>
      <w:r>
        <w:rPr>
          <w:rFonts w:hint="eastAsia"/>
          <w:color w:val="000000" w:themeColor="text1"/>
          <w14:textFill>
            <w14:solidFill>
              <w14:schemeClr w14:val="tx1"/>
            </w14:solidFill>
          </w14:textFill>
        </w:rPr>
        <w:t>年，现代乳产业体系不断完善。</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发展智能装备制造业</w:t>
      </w:r>
    </w:p>
    <w:p>
      <w:pPr>
        <w:ind w:firstLine="56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依托装备制造企业，引进现代化畜牧业智能装备制造技术，建设乳产业装备制造生产线1条，研发具有自主知识产权的乳业生产智能设备，包括</w:t>
      </w:r>
      <w:r>
        <w:rPr>
          <w:rFonts w:hint="eastAsia"/>
          <w:color w:val="000000" w:themeColor="text1"/>
          <w14:textFill>
            <w14:solidFill>
              <w14:schemeClr w14:val="tx1"/>
            </w14:solidFill>
          </w14:textFill>
        </w:rPr>
        <w:t>奶牛养殖设施设备开发加工、转盘式挤奶设备、粪污处理系统、饲草机械化等设备，提高全市奶牛养殖、乳制品加工智能装备制造能力。</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发展兽药饲料生产加工业</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一是大力发展动物疫苗产业，鼓励兽用生物制品企业加大科技攻关力度，持续发力口蹄疫、布鲁氏菌病、牛结节性皮肤病等重点动物疫病疫苗及诊断制品研发，提高产品竞争力以及市场占有率，推动形成动物医药产业集群，促进兽药行业高质量发展。二是依托现有的饲料</w:t>
      </w:r>
      <w:r>
        <w:rPr>
          <w:color w:val="000000" w:themeColor="text1"/>
          <w14:textFill>
            <w14:solidFill>
              <w14:schemeClr w14:val="tx1"/>
            </w14:solidFill>
          </w14:textFill>
        </w:rPr>
        <w:t>加工产业集群</w:t>
      </w:r>
      <w:r>
        <w:rPr>
          <w:rFonts w:hint="eastAsia"/>
          <w:color w:val="000000" w:themeColor="text1"/>
          <w14:textFill>
            <w14:solidFill>
              <w14:schemeClr w14:val="tx1"/>
            </w14:solidFill>
          </w14:textFill>
        </w:rPr>
        <w:t>，提升产品研发能力，促进企业创新，研发添加中草药、植物提取物微生态制剂、酶制剂等各类生物保健添加剂和复合预混料、反刍动物精料补充料、浓缩饲料等产品。</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发展外包装材料生产业</w:t>
      </w:r>
    </w:p>
    <w:p>
      <w:pPr>
        <w:ind w:firstLine="560"/>
        <w:rPr>
          <w:color w:val="000000" w:themeColor="text1"/>
          <w14:textFill>
            <w14:solidFill>
              <w14:schemeClr w14:val="tx1"/>
            </w14:solidFill>
          </w14:textFill>
        </w:rPr>
      </w:pPr>
      <w:r>
        <w:rPr>
          <w:rFonts w:hint="eastAsia"/>
          <w:bCs/>
          <w:color w:val="000000" w:themeColor="text1"/>
          <w14:textFill>
            <w14:solidFill>
              <w14:schemeClr w14:val="tx1"/>
            </w14:solidFill>
          </w14:textFill>
        </w:rPr>
        <w:t>依托</w:t>
      </w:r>
      <w:r>
        <w:rPr>
          <w:rFonts w:hint="eastAsia"/>
          <w:color w:val="000000" w:themeColor="text1"/>
          <w14:textFill>
            <w14:solidFill>
              <w14:schemeClr w14:val="tx1"/>
            </w14:solidFill>
          </w14:textFill>
        </w:rPr>
        <w:t>包装企业，研发</w:t>
      </w:r>
      <w:r>
        <w:rPr>
          <w:color w:val="000000" w:themeColor="text1"/>
          <w14:textFill>
            <w14:solidFill>
              <w14:schemeClr w14:val="tx1"/>
            </w14:solidFill>
          </w14:textFill>
        </w:rPr>
        <w:t>绿色环保、可降解的包装材料，</w:t>
      </w:r>
      <w:r>
        <w:rPr>
          <w:rFonts w:hint="eastAsia"/>
          <w:color w:val="000000" w:themeColor="text1"/>
          <w14:textFill>
            <w14:solidFill>
              <w14:schemeClr w14:val="tx1"/>
            </w14:solidFill>
          </w14:textFill>
        </w:rPr>
        <w:t>大力引进</w:t>
      </w:r>
      <w:r>
        <w:rPr>
          <w:color w:val="000000" w:themeColor="text1"/>
          <w14:textFill>
            <w14:solidFill>
              <w14:schemeClr w14:val="tx1"/>
            </w14:solidFill>
          </w14:textFill>
        </w:rPr>
        <w:t>自动化、智能化包装设备，</w:t>
      </w:r>
      <w:r>
        <w:rPr>
          <w:rFonts w:hint="eastAsia"/>
          <w:color w:val="000000" w:themeColor="text1"/>
          <w14:textFill>
            <w14:solidFill>
              <w14:schemeClr w14:val="tx1"/>
            </w14:solidFill>
          </w14:textFill>
        </w:rPr>
        <w:t>完善</w:t>
      </w:r>
      <w:r>
        <w:rPr>
          <w:color w:val="000000" w:themeColor="text1"/>
          <w14:textFill>
            <w14:solidFill>
              <w14:schemeClr w14:val="tx1"/>
            </w14:solidFill>
          </w14:textFill>
        </w:rPr>
        <w:t>配套乳产品外包装种类，</w:t>
      </w:r>
      <w:r>
        <w:rPr>
          <w:rFonts w:hint="eastAsia"/>
          <w:color w:val="000000" w:themeColor="text1"/>
          <w14:textFill>
            <w14:solidFill>
              <w14:schemeClr w14:val="tx1"/>
            </w14:solidFill>
          </w14:textFill>
        </w:rPr>
        <w:t>如屋脊包、利乐包、无菌塑料袋、利乐枕等，新建自动化乳制品包装生产线2条。</w:t>
      </w:r>
    </w:p>
    <w:p>
      <w:pPr>
        <w:pStyle w:val="3"/>
        <w:ind w:firstLine="643"/>
        <w:rPr>
          <w:color w:val="000000" w:themeColor="text1"/>
          <w14:textFill>
            <w14:solidFill>
              <w14:schemeClr w14:val="tx1"/>
            </w14:solidFill>
          </w14:textFill>
        </w:rPr>
      </w:pPr>
      <w:bookmarkStart w:id="55" w:name="_Toc80215060"/>
      <w:r>
        <w:rPr>
          <w:rFonts w:hint="eastAsia"/>
          <w:color w:val="000000" w:themeColor="text1"/>
          <w14:textFill>
            <w14:solidFill>
              <w14:schemeClr w14:val="tx1"/>
            </w14:solidFill>
          </w14:textFill>
        </w:rPr>
        <w:t>加强乳旅融合发展</w:t>
      </w:r>
      <w:bookmarkEnd w:id="55"/>
    </w:p>
    <w:p>
      <w:pPr>
        <w:ind w:firstLine="560"/>
        <w:rPr>
          <w:color w:val="000000" w:themeColor="text1"/>
          <w:kern w:val="0"/>
          <w:shd w:val="clear" w:color="auto" w:fill="FFFFFF"/>
          <w14:textFill>
            <w14:solidFill>
              <w14:schemeClr w14:val="tx1"/>
            </w14:solidFill>
          </w14:textFill>
        </w:rPr>
      </w:pPr>
      <w:r>
        <w:rPr>
          <w:rFonts w:hint="eastAsia"/>
          <w:color w:val="000000" w:themeColor="text1"/>
          <w:kern w:val="0"/>
          <w:shd w:val="clear" w:color="auto" w:fill="FFFFFF"/>
          <w14:textFill>
            <w14:solidFill>
              <w14:schemeClr w14:val="tx1"/>
            </w14:solidFill>
          </w14:textFill>
        </w:rPr>
        <w:t>大力发展乳产业旅游业，推动现代乳业工业旅游提档升级，推进草原和乳业文化休闲农庄建设，打造乳产业观光旅游精品线路，强化</w:t>
      </w:r>
      <w:r>
        <w:rPr>
          <w:color w:val="000000" w:themeColor="text1"/>
          <w14:textFill>
            <w14:solidFill>
              <w14:schemeClr w14:val="tx1"/>
            </w14:solidFill>
          </w14:textFill>
        </w:rPr>
        <w:t>规范化管理、标准化服务，</w:t>
      </w:r>
      <w:r>
        <w:rPr>
          <w:rFonts w:hint="eastAsia"/>
          <w:color w:val="000000" w:themeColor="text1"/>
          <w14:textFill>
            <w14:solidFill>
              <w14:schemeClr w14:val="tx1"/>
            </w14:solidFill>
          </w14:textFill>
        </w:rPr>
        <w:t>促进乳业文化旅游高质量发展</w:t>
      </w:r>
      <w:r>
        <w:rPr>
          <w:rFonts w:hint="eastAsia"/>
          <w:color w:val="000000" w:themeColor="text1"/>
          <w:kern w:val="0"/>
          <w:shd w:val="clear" w:color="auto" w:fill="FFFFFF"/>
          <w14:textFill>
            <w14:solidFill>
              <w14:schemeClr w14:val="tx1"/>
            </w14:solidFill>
          </w14:textFill>
        </w:rPr>
        <w:t>。到</w:t>
      </w:r>
      <w:r>
        <w:rPr>
          <w:color w:val="000000" w:themeColor="text1"/>
          <w:kern w:val="0"/>
          <w:shd w:val="clear" w:color="auto" w:fill="FFFFFF"/>
          <w14:textFill>
            <w14:solidFill>
              <w14:schemeClr w14:val="tx1"/>
            </w14:solidFill>
          </w14:textFill>
        </w:rPr>
        <w:t>2025</w:t>
      </w:r>
      <w:r>
        <w:rPr>
          <w:rFonts w:hint="eastAsia"/>
          <w:color w:val="000000" w:themeColor="text1"/>
          <w:kern w:val="0"/>
          <w:shd w:val="clear" w:color="auto" w:fill="FFFFFF"/>
          <w14:textFill>
            <w14:solidFill>
              <w14:schemeClr w14:val="tx1"/>
            </w14:solidFill>
          </w14:textFill>
        </w:rPr>
        <w:t>年，打造乳产业休闲体验点10个，通过乳旅融合带动产品推广，提高地方经济收入。</w:t>
      </w:r>
    </w:p>
    <w:p>
      <w:pPr>
        <w:pStyle w:val="4"/>
        <w:ind w:firstLine="562"/>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大力发展工业旅游</w:t>
      </w:r>
    </w:p>
    <w:p>
      <w:pPr>
        <w:pStyle w:val="14"/>
        <w:ind w:firstLine="560"/>
        <w:rPr>
          <w:color w:val="000000" w:themeColor="text1"/>
          <w:sz w:val="28"/>
          <w:shd w:val="clear" w:color="auto" w:fill="FFFFFF"/>
          <w14:textFill>
            <w14:solidFill>
              <w14:schemeClr w14:val="tx1"/>
            </w14:solidFill>
          </w14:textFill>
        </w:rPr>
      </w:pPr>
      <w:r>
        <w:rPr>
          <w:rFonts w:hint="eastAsia"/>
          <w:bCs/>
          <w:color w:val="000000" w:themeColor="text1"/>
          <w:sz w:val="28"/>
          <w:shd w:val="clear" w:color="auto" w:fill="FFFFFF"/>
          <w14:textFill>
            <w14:solidFill>
              <w14:schemeClr w14:val="tx1"/>
            </w14:solidFill>
          </w14:textFill>
        </w:rPr>
        <w:t>依托伊利博物馆、蒙牛工业旅游景区新建乳业文化观光体验园，开展奶业工业旅游，</w:t>
      </w:r>
      <w:r>
        <w:rPr>
          <w:rFonts w:hint="eastAsia"/>
          <w:color w:val="000000" w:themeColor="text1"/>
          <w:sz w:val="28"/>
          <w:shd w:val="clear" w:color="auto" w:fill="FFFFFF"/>
          <w14:textFill>
            <w14:solidFill>
              <w14:schemeClr w14:val="tx1"/>
            </w14:solidFill>
          </w14:textFill>
        </w:rPr>
        <w:t>开发养殖科普、奶牛观光、乳制品制作、乳制品品尝等旅游资源项目。推出节庆游、亲子体验游、科普文化游，吸引国内外游客进行一番中国乳业文化之旅，进一步对外展示呼和浩特敕勒川文化及草原文化。</w:t>
      </w:r>
    </w:p>
    <w:p>
      <w:pPr>
        <w:pStyle w:val="4"/>
        <w:ind w:firstLine="562"/>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建设草原和乳业文化休闲农庄</w:t>
      </w:r>
    </w:p>
    <w:p>
      <w:pPr>
        <w:pStyle w:val="14"/>
        <w:ind w:firstLine="560"/>
        <w:rPr>
          <w:color w:val="000000" w:themeColor="text1"/>
          <w:sz w:val="28"/>
          <w:shd w:val="clear" w:color="auto" w:fill="FFFFFF"/>
          <w14:textFill>
            <w14:solidFill>
              <w14:schemeClr w14:val="tx1"/>
            </w14:solidFill>
          </w14:textFill>
        </w:rPr>
      </w:pPr>
      <w:r>
        <w:rPr>
          <w:rFonts w:hint="eastAsia"/>
          <w:color w:val="000000" w:themeColor="text1"/>
          <w:sz w:val="28"/>
          <w:shd w:val="clear" w:color="auto" w:fill="FFFFFF"/>
          <w14:textFill>
            <w14:solidFill>
              <w14:schemeClr w14:val="tx1"/>
            </w14:solidFill>
          </w14:textFill>
        </w:rPr>
        <w:t>依托呼和浩特独特的生态环境优势，加强旅游资源、文化资源和乳业资源的整合，对乳产品休闲农庄统一规划、合理布局、提升基础、整体推介。以呼和浩特市特有的草原及乳业等为核心，重点打造乳产品生产观光旅游精品路线，谋划筹办与畜牧相关的度假旅游节庆等项目，通过乳制品生产带动第三产业发展。</w:t>
      </w:r>
    </w:p>
    <w:p>
      <w:pPr>
        <w:ind w:firstLine="560"/>
        <w:rPr>
          <w:rFonts w:cs="Times New Roman"/>
          <w:color w:val="000000" w:themeColor="text1"/>
          <w:kern w:val="0"/>
          <w14:textFill>
            <w14:solidFill>
              <w14:schemeClr w14:val="tx1"/>
            </w14:solidFill>
          </w14:textFill>
        </w:rPr>
      </w:pPr>
    </w:p>
    <w:tbl>
      <w:tblPr>
        <w:tblStyle w:val="3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02" w:type="dxa"/>
            <w:tcBorders>
              <w:top w:val="single" w:color="auto" w:sz="4" w:space="0"/>
              <w:left w:val="single" w:color="auto" w:sz="4" w:space="0"/>
              <w:bottom w:val="single" w:color="auto" w:sz="4" w:space="0"/>
              <w:right w:val="single" w:color="auto" w:sz="4" w:space="0"/>
            </w:tcBorders>
            <w:shd w:val="clear" w:color="auto" w:fill="C2D69B" w:themeFill="accent3" w:themeFillTint="99"/>
          </w:tcPr>
          <w:p>
            <w:pPr>
              <w:spacing w:line="576" w:lineRule="auto"/>
              <w:ind w:firstLine="0" w:firstLineChars="0"/>
              <w:rPr>
                <w:rFonts w:cs="Times New Roman"/>
                <w:b/>
                <w:bCs/>
                <w:color w:val="000000" w:themeColor="text1"/>
                <w:highlight w:val="yellow"/>
                <w14:textFill>
                  <w14:solidFill>
                    <w14:schemeClr w14:val="tx1"/>
                  </w14:solidFill>
                </w14:textFill>
              </w:rPr>
            </w:pPr>
            <w:r>
              <w:rPr>
                <w:rFonts w:hint="eastAsia" w:cs="Times New Roman"/>
                <w:b/>
                <w:bCs/>
                <w:color w:val="000000" w:themeColor="text1"/>
                <w14:textFill>
                  <w14:solidFill>
                    <w14:schemeClr w14:val="tx1"/>
                  </w14:solidFill>
                </w14:textFill>
              </w:rPr>
              <w:t>专栏</w:t>
            </w:r>
            <w:r>
              <w:rPr>
                <w:rFonts w:cs="Times New Roman"/>
                <w:b/>
                <w:bCs/>
                <w:color w:val="000000" w:themeColor="text1"/>
                <w14:textFill>
                  <w14:solidFill>
                    <w14:schemeClr w14:val="tx1"/>
                  </w14:solidFill>
                </w14:textFill>
              </w:rPr>
              <w:t xml:space="preserve">3 </w:t>
            </w:r>
            <w:r>
              <w:rPr>
                <w:rFonts w:hint="eastAsia" w:cs="Times New Roman"/>
                <w:b/>
                <w:bCs/>
                <w:color w:val="000000" w:themeColor="text1"/>
                <w14:textFill>
                  <w14:solidFill>
                    <w14:schemeClr w14:val="tx1"/>
                  </w14:solidFill>
                </w14:textFill>
              </w:rPr>
              <w:t>现代乳业全产业链集群建设重点工程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02" w:type="dxa"/>
            <w:tcBorders>
              <w:top w:val="single" w:color="auto" w:sz="4" w:space="0"/>
              <w:left w:val="single" w:color="auto" w:sz="4" w:space="0"/>
              <w:bottom w:val="single" w:color="auto" w:sz="4" w:space="0"/>
              <w:right w:val="single" w:color="auto" w:sz="4" w:space="0"/>
            </w:tcBorders>
          </w:tcPr>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伊利健康智慧谷智慧样板基地项目。</w:t>
            </w:r>
            <w:r>
              <w:rPr>
                <w:rFonts w:hint="eastAsia"/>
                <w:color w:val="000000" w:themeColor="text1"/>
                <w14:textFill>
                  <w14:solidFill>
                    <w14:schemeClr w14:val="tx1"/>
                  </w14:solidFill>
                </w14:textFill>
              </w:rPr>
              <w:t>新建日处理原料奶</w:t>
            </w:r>
            <w:r>
              <w:rPr>
                <w:color w:val="000000" w:themeColor="text1"/>
                <w14:textFill>
                  <w14:solidFill>
                    <w14:schemeClr w14:val="tx1"/>
                  </w14:solidFill>
                </w14:textFill>
              </w:rPr>
              <w:t>6500</w:t>
            </w:r>
            <w:r>
              <w:rPr>
                <w:rFonts w:hint="eastAsia"/>
                <w:color w:val="000000" w:themeColor="text1"/>
                <w14:textFill>
                  <w14:solidFill>
                    <w14:schemeClr w14:val="tx1"/>
                  </w14:solidFill>
                </w14:textFill>
              </w:rPr>
              <w:t>吨液态奶项目、年产</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万吨奶粉项目、年产</w:t>
            </w:r>
            <w:r>
              <w:rPr>
                <w:color w:val="000000" w:themeColor="text1"/>
                <w14:textFill>
                  <w14:solidFill>
                    <w14:schemeClr w14:val="tx1"/>
                  </w14:solidFill>
                </w14:textFill>
              </w:rPr>
              <w:t>16</w:t>
            </w:r>
            <w:r>
              <w:rPr>
                <w:rFonts w:hint="eastAsia"/>
                <w:color w:val="000000" w:themeColor="text1"/>
                <w14:textFill>
                  <w14:solidFill>
                    <w14:schemeClr w14:val="tx1"/>
                  </w14:solidFill>
                </w14:textFill>
              </w:rPr>
              <w:t>万吨酸奶项目、年产</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万吨冰淇淋项目和奶酪项目。</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蒙牛中国奶业产业园乳制品加工项目。</w:t>
            </w:r>
            <w:r>
              <w:rPr>
                <w:rFonts w:hint="eastAsia"/>
                <w:color w:val="000000" w:themeColor="text1"/>
                <w14:textFill>
                  <w14:solidFill>
                    <w14:schemeClr w14:val="tx1"/>
                  </w14:solidFill>
                </w14:textFill>
              </w:rPr>
              <w:t>依托蒙牛中国奶业产业园，建设日产能</w:t>
            </w:r>
            <w:r>
              <w:rPr>
                <w:color w:val="000000" w:themeColor="text1"/>
                <w14:textFill>
                  <w14:solidFill>
                    <w14:schemeClr w14:val="tx1"/>
                  </w14:solidFill>
                </w14:textFill>
              </w:rPr>
              <w:t>800</w:t>
            </w:r>
            <w:r>
              <w:rPr>
                <w:rFonts w:hint="eastAsia"/>
                <w:color w:val="000000" w:themeColor="text1"/>
                <w14:textFill>
                  <w14:solidFill>
                    <w14:schemeClr w14:val="tx1"/>
                  </w14:solidFill>
                </w14:textFill>
              </w:rPr>
              <w:t>吨的低温工厂，建设年产能</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万吨的奶酪工场，以及日产能</w:t>
            </w:r>
            <w:r>
              <w:rPr>
                <w:color w:val="000000" w:themeColor="text1"/>
                <w14:textFill>
                  <w14:solidFill>
                    <w14:schemeClr w14:val="tx1"/>
                  </w14:solidFill>
                </w14:textFill>
              </w:rPr>
              <w:t>500</w:t>
            </w:r>
            <w:r>
              <w:rPr>
                <w:rFonts w:hint="eastAsia"/>
                <w:color w:val="000000" w:themeColor="text1"/>
                <w14:textFill>
                  <w14:solidFill>
                    <w14:schemeClr w14:val="tx1"/>
                  </w14:solidFill>
                </w14:textFill>
              </w:rPr>
              <w:t>吨的鲜奶工厂，建设奶酪生产线，开发干酪、奶片、乳粉等产品，探索开发民族乳制品产品。</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民族特色奶食品加工标准化改造试点项目。</w:t>
            </w:r>
            <w:r>
              <w:rPr>
                <w:rFonts w:hint="eastAsia"/>
                <w:color w:val="000000" w:themeColor="text1"/>
                <w14:textFill>
                  <w14:solidFill>
                    <w14:schemeClr w14:val="tx1"/>
                  </w14:solidFill>
                </w14:textFill>
              </w:rPr>
              <w:t>依托泰利达、金山等乳业有限责任公司，鼓励中小企业引进先进生产技术及设备，新建一批特色民族乳制品生产线，培育一批中小型乳产品深加工领军企业。打造</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个中小民族乳制品企业标准化升级改造示范企业。至2025年，发展中小型乳制品企业20家，中小型乳制品企业总产值达到10亿元。</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乳业冷链物流体系建设工程</w:t>
            </w:r>
            <w:r>
              <w:rPr>
                <w:rFonts w:hint="eastAsia"/>
                <w:color w:val="000000" w:themeColor="text1"/>
                <w14:textFill>
                  <w14:solidFill>
                    <w14:schemeClr w14:val="tx1"/>
                  </w14:solidFill>
                </w14:textFill>
              </w:rPr>
              <w:t>。以伊利和蒙牛产业园为核心，</w:t>
            </w:r>
            <w:r>
              <w:rPr>
                <w:color w:val="000000" w:themeColor="text1"/>
                <w14:textFill>
                  <w14:solidFill>
                    <w14:schemeClr w14:val="tx1"/>
                  </w14:solidFill>
                </w14:textFill>
              </w:rPr>
              <w:t>建设物流仓储基地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新建</w:t>
            </w:r>
            <w:r>
              <w:rPr>
                <w:rFonts w:hint="eastAsia"/>
                <w:color w:val="000000" w:themeColor="text1"/>
                <w14:textFill>
                  <w14:solidFill>
                    <w14:schemeClr w14:val="tx1"/>
                  </w14:solidFill>
                </w14:textFill>
              </w:rPr>
              <w:t>20万吨</w:t>
            </w:r>
            <w:r>
              <w:rPr>
                <w:color w:val="000000" w:themeColor="text1"/>
                <w14:textFill>
                  <w14:solidFill>
                    <w14:schemeClr w14:val="tx1"/>
                  </w14:solidFill>
                </w14:textFill>
              </w:rPr>
              <w:t>冷库</w:t>
            </w:r>
            <w:r>
              <w:rPr>
                <w:rFonts w:hint="eastAsia"/>
                <w:color w:val="000000" w:themeColor="text1"/>
                <w14:textFill>
                  <w14:solidFill>
                    <w14:schemeClr w14:val="tx1"/>
                  </w14:solidFill>
                </w14:textFill>
              </w:rPr>
              <w:t>。依托和林县、托克托县、清水河县、武川县四个国家级农村电子商务示范县，每个县</w:t>
            </w:r>
            <w:r>
              <w:rPr>
                <w:color w:val="000000" w:themeColor="text1"/>
                <w14:textFill>
                  <w14:solidFill>
                    <w14:schemeClr w14:val="tx1"/>
                  </w14:solidFill>
                </w14:textFill>
              </w:rPr>
              <w:t>新建</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个冷链</w:t>
            </w:r>
            <w:r>
              <w:rPr>
                <w:color w:val="000000" w:themeColor="text1"/>
                <w14:textFill>
                  <w14:solidFill>
                    <w14:schemeClr w14:val="tx1"/>
                  </w14:solidFill>
                </w14:textFill>
              </w:rPr>
              <w:t>物流中转站，</w:t>
            </w:r>
            <w:r>
              <w:rPr>
                <w:rFonts w:hint="eastAsia"/>
                <w:color w:val="000000" w:themeColor="text1"/>
                <w14:textFill>
                  <w14:solidFill>
                    <w14:schemeClr w14:val="tx1"/>
                  </w14:solidFill>
                </w14:textFill>
              </w:rPr>
              <w:t>形成“区物流集散中心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街镇基地批发中心”的两级流通体系，并实现与北京、天津等目标市场大型物流园的对接。到2025年，冷链物流达到5万吨/天。</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兽药饲料生产加工企业培育工程。</w:t>
            </w:r>
            <w:r>
              <w:rPr>
                <w:rFonts w:hint="eastAsia"/>
                <w:color w:val="000000" w:themeColor="text1"/>
                <w14:textFill>
                  <w14:solidFill>
                    <w14:schemeClr w14:val="tx1"/>
                  </w14:solidFill>
                </w14:textFill>
              </w:rPr>
              <w:t>以金宇保灵、必威安泰、齐鲁制药等兽药、动物疫苗企业为依托，开展科技攻关，研发口蹄疫、布鲁氏菌病、牛结节性皮肤病等重点动物疫病疫苗及诊断制品以及新型兽药产品。依托依托内蒙古牧泉元兴饲料有限责任公司、内蒙古蒙泰大地生物技术发展有限责任公司、博瑞饲料等企业，研发添加中草药、植物提取物态制剂、酶制剂等各类生物保健添加剂的复合预混料、反刍动物精料补充料、浓缩饲料。</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草原和乳业文化休闲体验建设工程。</w:t>
            </w:r>
            <w:r>
              <w:rPr>
                <w:rFonts w:hint="eastAsia"/>
                <w:color w:val="000000" w:themeColor="text1"/>
                <w14:textFill>
                  <w14:solidFill>
                    <w14:schemeClr w14:val="tx1"/>
                  </w14:solidFill>
                </w14:textFill>
              </w:rPr>
              <w:t>依托伊利、蒙牛工业旅游、和林县子昂牧场、敕勒川精品奶源基地等休闲观光牧场打造集乳制品宣传、休闲、度假等功能于一体的休闲体验点10个，以呼和浩特市特有的草原及乳业等为核心，重点打造乳产品生产观光旅游，谋划筹办与畜牧相关的度假旅游节庆等项目。</w:t>
            </w:r>
          </w:p>
        </w:tc>
      </w:tr>
    </w:tbl>
    <w:p>
      <w:pPr>
        <w:ind w:firstLine="560"/>
        <w:rPr>
          <w:color w:val="000000" w:themeColor="text1"/>
          <w14:textFill>
            <w14:solidFill>
              <w14:schemeClr w14:val="tx1"/>
            </w14:solidFill>
          </w14:textFill>
        </w:rPr>
      </w:pPr>
    </w:p>
    <w:p>
      <w:pPr>
        <w:widowControl/>
        <w:spacing w:before="340" w:after="330" w:line="578" w:lineRule="auto"/>
        <w:ind w:left="420"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rPr>
          <w:rStyle w:val="37"/>
          <w:b/>
          <w:bCs/>
          <w:color w:val="000000" w:themeColor="text1"/>
          <w:sz w:val="32"/>
          <w14:textFill>
            <w14:solidFill>
              <w14:schemeClr w14:val="tx1"/>
            </w14:solidFill>
          </w14:textFill>
        </w:rPr>
      </w:pPr>
      <w:bookmarkStart w:id="56" w:name="_Toc80215061"/>
      <w:r>
        <w:rPr>
          <w:rStyle w:val="37"/>
          <w:rFonts w:hint="eastAsia"/>
          <w:b/>
          <w:bCs/>
          <w:color w:val="000000" w:themeColor="text1"/>
          <w14:textFill>
            <w14:solidFill>
              <w14:schemeClr w14:val="tx1"/>
            </w14:solidFill>
          </w14:textFill>
        </w:rPr>
        <w:t>打造国家乳业科技创新</w:t>
      </w:r>
      <w:bookmarkEnd w:id="56"/>
      <w:r>
        <w:rPr>
          <w:rStyle w:val="37"/>
          <w:rFonts w:hint="eastAsia"/>
          <w:b/>
          <w:bCs/>
          <w:color w:val="000000" w:themeColor="text1"/>
          <w14:textFill>
            <w14:solidFill>
              <w14:schemeClr w14:val="tx1"/>
            </w14:solidFill>
          </w14:textFill>
        </w:rPr>
        <w:t>高地</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面向国家需求、面向产业问题，以建设国家乳业技术创新中心为目标，以攻克乳业前沿技术和关键共性技术为核心，加大新技术、新工艺、新装备的研究开发，强化产学研联合，集聚国内外乳业创新资源，打造乳业科技创新新高地，支撑乳业高质量发展。</w:t>
      </w:r>
    </w:p>
    <w:p>
      <w:pPr>
        <w:pStyle w:val="3"/>
        <w:ind w:firstLine="643"/>
        <w:rPr>
          <w:color w:val="000000" w:themeColor="text1"/>
          <w14:textFill>
            <w14:solidFill>
              <w14:schemeClr w14:val="tx1"/>
            </w14:solidFill>
          </w14:textFill>
        </w:rPr>
      </w:pPr>
      <w:bookmarkStart w:id="57" w:name="_Toc80215062"/>
      <w:r>
        <w:rPr>
          <w:rFonts w:hint="eastAsia"/>
          <w:color w:val="000000" w:themeColor="text1"/>
          <w14:textFill>
            <w14:solidFill>
              <w14:schemeClr w14:val="tx1"/>
            </w14:solidFill>
          </w14:textFill>
        </w:rPr>
        <w:t>建设国家科技创新中心</w:t>
      </w:r>
      <w:bookmarkEnd w:id="57"/>
    </w:p>
    <w:p>
      <w:pPr>
        <w:ind w:firstLine="560"/>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聚焦乳业发展重大需求，</w:t>
      </w:r>
      <w:r>
        <w:rPr>
          <w:rFonts w:hint="eastAsia" w:cs="Times New Roman"/>
          <w:color w:val="000000" w:themeColor="text1"/>
          <w14:textFill>
            <w14:solidFill>
              <w14:schemeClr w14:val="tx1"/>
            </w14:solidFill>
          </w14:textFill>
        </w:rPr>
        <w:t>按照产业共生、融合发展、创新示范、全球共建及营养健康的发展原则，打造创新引领、数智驱动、产业融合发展的国家乳业技术创新中心，构建空间分布合理、具有国际影响力和竞争力、适应国内国际双循环的国家乳业技术创新网络，大力支持乳业生产加工全链条技术创新，全面提升创新能力和国际竞争力。</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强化乳业科技创新能力</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依托现有科技创新载体，建设乳业全产业链研究中心。由内蒙古乳业技术研究院牵头，发挥伊利奶科院牛、蒙牛奶业研究院、盛健奶山羊研究院、赛科星奶牛育种研究中心等平台作用，联合高校、科研院所及行业企业，围绕乳业全产业链，布局奶牛繁育与养殖技术、营养与健康、工艺技术与装备、安全与品质研究中心，强化产业基础研究能力，促进大专院校企业间成果转化和应用，破解资源共享瓶颈。鼓励和支持企业积极参与国家乳业技术创新中心等重点工程项目建设，提高自主研发能力，形成涵盖动植物繁育、疫病防控、营养健康、加工技术、包装技术、食品安全风险及应对、高端产品开发等产业链环节的技术创新体系。 </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建设乳业专业服务平台</w:t>
      </w:r>
    </w:p>
    <w:p>
      <w:pPr>
        <w:ind w:firstLine="560"/>
        <w:rPr>
          <w:rFonts w:cs="Times New Roman"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联合乳品行业领域相关的科研院所、行业组织、大中院校、企业等单位及专家，推进乳业科技成果创新，打造乳业全产业链的标准孵化器和标准创新服务平台。</w:t>
      </w:r>
      <w:r>
        <w:rPr>
          <w:rFonts w:hint="eastAsia" w:cs="Times New Roman" w:eastAsiaTheme="minorEastAsia"/>
          <w:color w:val="000000" w:themeColor="text1"/>
          <w14:textFill>
            <w14:solidFill>
              <w14:schemeClr w14:val="tx1"/>
            </w14:solidFill>
          </w14:textFill>
        </w:rPr>
        <w:t xml:space="preserve">围绕现代乳产业生产管理、技术研发、设备管理、质量管理等方面，完善乳品标准法规体系，提升乳业国际竞争力，实现乳业重点技术领域国际标准突破，打造创新生态；整合国内外优质知识产权服务资源，提升我国乳业知识产权创造质量、保护效果、运用效益、管理水平、服务能力和国际影响力；为乳业创新创业提供资金、人才、技术等服务，实现创新技术与科研成果的转化及应用。 </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构建产学研一体化平台</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大力支持乳制品产业龙头企业和科技型企业与高校、科研院所的国家级和自治区级相关重点学科和实验室联合组建各级、各类研发机构、中试基地、研究实习基地、院士工作站、产学研创新战略联盟等，推动博士后科研工作站和创新实践基地、工程技术研究中心、重点实验室、企业技术研发中心、企业技术中心协同发展，形成“人才+项目+产品”的产学研用合作机制，提升企业的自主创新能力和核心竞争优势。强化科技创新成果源头对接，积极创新与北京中关村科技园、中粮集团等大型央企、中国农业大学等重点高校院所合作模式，以生物科学、食品加工等为切入点，以重大科技成果转化和产业化项目为抓手，畅通科技成果的发现、孵化、产业化全过程。</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建设全球乳产业大数据中心</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依龙头企业，开展全球乳产业大数据基地建设项目，推动养殖业、乳品加工、物流运输、电子商务、金融服务等全链条互联互通和信息共享，实现信息数据跨域、跨云、跨网集成，形成跨产业、跨地域、跨业务的乳业大数据新模式，创新大数据应用服务能力，为全链条上的利益相关者提供服务和解决方案，推进乳业生产方式、经营方式、业务流程、传统管理方式和组织方式的升级转型。通过将互联网及大数据分析技术贯通于养殖、研发、生产、流通、消费等全产业链，实现与消费者的全方位互动，更好地满足消费者的差异化需求。</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探索建立海外乳业创新驿站</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依托龙头企业，聚焦乳制品产业前沿发展领域，深化与美国、德国、新西兰等乳制品产业发达国家开展技术交流合作，建立海外技术创新驿站，打造面向世界、开放创新的前沿阵地，构建从产业产品研发中心、成果展示中心到技术创新成果路演交流中心、国际创新合作中心等全方位的国际创新服务体系，打造原创研究、国际技术合作、产业孵化的国际创新链，创立具有国际视野与区域影响力的国际创新服务平台。支持龙头企业对接全球科技创新策源地，融入全球产业技术创新网络，承载前沿科技成果转化。</w:t>
      </w:r>
    </w:p>
    <w:p>
      <w:pPr>
        <w:pStyle w:val="3"/>
        <w:ind w:firstLine="643"/>
        <w:rPr>
          <w:color w:val="000000" w:themeColor="text1"/>
          <w:shd w:val="clear" w:color="auto" w:fill="FFFFFF"/>
          <w14:textFill>
            <w14:solidFill>
              <w14:schemeClr w14:val="tx1"/>
            </w14:solidFill>
          </w14:textFill>
        </w:rPr>
      </w:pPr>
      <w:bookmarkStart w:id="58" w:name="_Toc80215063"/>
      <w:r>
        <w:rPr>
          <w:rFonts w:hint="eastAsia"/>
          <w:color w:val="000000" w:themeColor="text1"/>
          <w:shd w:val="clear" w:color="auto" w:fill="FFFFFF"/>
          <w14:textFill>
            <w14:solidFill>
              <w14:schemeClr w14:val="tx1"/>
            </w14:solidFill>
          </w14:textFill>
        </w:rPr>
        <w:t>加强奶业关键技术攻关</w:t>
      </w:r>
      <w:bookmarkEnd w:id="58"/>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紧盯世界乳业技术发展需求，依托国家乳业技术创新中心和国家技术标准创新基地（乳业），加强奶畜良种和繁育技术、乳品全产业链风险预警及精准防控技术攻关等，不断提升奶牛单位产出水平和生产效率，应用先进微生物技术，开发新型乳制品产品，加强现代信息技术应用，全面提升现代奶业技术水平。</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加强良种繁育技术攻关</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鼓励企业开展性控技术、胚胎工程技术和分子育种技术攻关，形成以性别控制新技术和新产品为主的良种奶牛扩繁技术。发展动物克隆、胚胎移植和人工授精等技术，加快新技术和新产品的产业化推广应用，打造与国际优质奶源示范基地相适应的、具有国际竞争力的现代良种奶牛繁育技术基地。</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加强微生物技术应用</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支持企业筛选和开发适合发酵乳制品的益生菌菌种、发酵剂和益生菌制剂，建立具有自主知识产权的益生菌菌种资源库。提升生物技术在发酵乳产业中的应用水平，延伸高端乳制品产业链。</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加强现代信息技术应用</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依托龙头企业，加快推进“数字奶源智能牧场”项目建设，运用物联网设备、应用云计算、大数据、人工智能等信息技术的牧场运营管理解决方案，实现数据共享、效率提升、运营成本降低，控制管理风险，提升产业链管理水平。</w:t>
      </w:r>
    </w:p>
    <w:p>
      <w:pPr>
        <w:pStyle w:val="3"/>
        <w:ind w:firstLine="643"/>
        <w:rPr>
          <w:color w:val="000000" w:themeColor="text1"/>
          <w14:textFill>
            <w14:solidFill>
              <w14:schemeClr w14:val="tx1"/>
            </w14:solidFill>
          </w14:textFill>
        </w:rPr>
      </w:pPr>
      <w:bookmarkStart w:id="59" w:name="_Toc80215064"/>
      <w:r>
        <w:rPr>
          <w:color w:val="000000" w:themeColor="text1"/>
          <w14:textFill>
            <w14:solidFill>
              <w14:schemeClr w14:val="tx1"/>
            </w14:solidFill>
          </w14:textFill>
        </w:rPr>
        <w:t>强化</w:t>
      </w:r>
      <w:r>
        <w:rPr>
          <w:rFonts w:hint="eastAsia"/>
          <w:color w:val="000000" w:themeColor="text1"/>
          <w14:textFill>
            <w14:solidFill>
              <w14:schemeClr w14:val="tx1"/>
            </w14:solidFill>
          </w14:textFill>
        </w:rPr>
        <w:t>现代乳业</w:t>
      </w:r>
      <w:r>
        <w:rPr>
          <w:color w:val="000000" w:themeColor="text1"/>
          <w14:textFill>
            <w14:solidFill>
              <w14:schemeClr w14:val="tx1"/>
            </w14:solidFill>
          </w14:textFill>
        </w:rPr>
        <w:t>科技服务</w:t>
      </w:r>
      <w:bookmarkEnd w:id="59"/>
    </w:p>
    <w:p>
      <w:pPr>
        <w:pStyle w:val="13"/>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加大人才引</w:t>
      </w:r>
      <w:r>
        <w:rPr>
          <w:rFonts w:hint="eastAsia"/>
          <w:color w:val="000000" w:themeColor="text1"/>
          <w:shd w:val="clear" w:color="auto" w:fill="FFFFFF"/>
          <w14:textFill>
            <w14:solidFill>
              <w14:schemeClr w14:val="tx1"/>
            </w14:solidFill>
          </w14:textFill>
        </w:rPr>
        <w:t>进和培养力度，</w:t>
      </w:r>
      <w:r>
        <w:rPr>
          <w:rFonts w:hint="eastAsia"/>
          <w:color w:val="000000" w:themeColor="text1"/>
          <w14:textFill>
            <w14:solidFill>
              <w14:schemeClr w14:val="tx1"/>
            </w14:solidFill>
          </w14:textFill>
        </w:rPr>
        <w:t>培育一批奶产业管理应用技术高层次人才，启动全球乳业人才培训中心建设，利用互联网、大数据等现代技术，加强科技推广与服务，</w:t>
      </w:r>
      <w:r>
        <w:rPr>
          <w:rFonts w:hint="eastAsia"/>
          <w:color w:val="000000" w:themeColor="text1"/>
          <w:shd w:val="clear" w:color="auto" w:fill="FFFFFF"/>
          <w14:textFill>
            <w14:solidFill>
              <w14:schemeClr w14:val="tx1"/>
            </w14:solidFill>
          </w14:textFill>
        </w:rPr>
        <w:t>全面提升科技创新和技术服务能力，有力支撑奶业高质量发展，到2</w:t>
      </w:r>
      <w:r>
        <w:rPr>
          <w:color w:val="000000" w:themeColor="text1"/>
          <w:shd w:val="clear" w:color="auto" w:fill="FFFFFF"/>
          <w14:textFill>
            <w14:solidFill>
              <w14:schemeClr w14:val="tx1"/>
            </w14:solidFill>
          </w14:textFill>
        </w:rPr>
        <w:t>025</w:t>
      </w:r>
      <w:r>
        <w:rPr>
          <w:rFonts w:hint="eastAsia"/>
          <w:color w:val="000000" w:themeColor="text1"/>
          <w:shd w:val="clear" w:color="auto" w:fill="FFFFFF"/>
          <w14:textFill>
            <w14:solidFill>
              <w14:schemeClr w14:val="tx1"/>
            </w14:solidFill>
          </w14:textFill>
        </w:rPr>
        <w:t>年，每年开展奶业培训</w:t>
      </w:r>
      <w:r>
        <w:rPr>
          <w:color w:val="000000" w:themeColor="text1"/>
          <w:shd w:val="clear" w:color="auto" w:fill="FFFFFF"/>
          <w14:textFill>
            <w14:solidFill>
              <w14:schemeClr w14:val="tx1"/>
            </w14:solidFill>
          </w14:textFill>
        </w:rPr>
        <w:t>2000</w:t>
      </w:r>
      <w:r>
        <w:rPr>
          <w:rFonts w:hint="eastAsia"/>
          <w:color w:val="000000" w:themeColor="text1"/>
          <w:shd w:val="clear" w:color="auto" w:fill="FFFFFF"/>
          <w14:textFill>
            <w14:solidFill>
              <w14:schemeClr w14:val="tx1"/>
            </w14:solidFill>
          </w14:textFill>
        </w:rPr>
        <w:t>人次。</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强化奶业人才队伍</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围绕乳制品产业发展重点领域和项目需要，精准对接创业人才、技术人才、高层次人才和紧缺人才的现实需求，研究制订更加开放灵活、富有针对性的人才政策。积极搭建面向全球的引才平台，建立柔性人才引进机制，汇聚一批顶尖人才、战略科学家和创新团队。以“内蒙古籍人才、行业领军人才”为切入点，重点面向北京、上海、深圳大力引进高端人才，留住非呼和浩特市生源的呼和浩特高校毕业生。建立校企联合培养模式，对在校高层次人才进行针对性的联合培养，提高我市高端人才保留率。</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加强新型经营主体培训</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充分利用高校、科研院所、职业教育、科技推广机构的资源和技术优势，通过进修、培训等多种形式，加快培养高素质的奶牛养殖人才队伍，提高规模养殖场标准化水平。</w:t>
      </w:r>
      <w:r>
        <w:rPr>
          <w:rFonts w:hint="eastAsia"/>
          <w:bCs/>
          <w:color w:val="000000" w:themeColor="text1"/>
          <w14:textFill>
            <w14:solidFill>
              <w14:schemeClr w14:val="tx1"/>
            </w14:solidFill>
          </w14:textFill>
        </w:rPr>
        <w:t>加快培育中小规模乳产品新型经营主体</w:t>
      </w:r>
      <w:r>
        <w:rPr>
          <w:rFonts w:hint="eastAsia"/>
          <w:color w:val="000000" w:themeColor="text1"/>
          <w14:textFill>
            <w14:solidFill>
              <w14:schemeClr w14:val="tx1"/>
            </w14:solidFill>
          </w14:textFill>
        </w:rPr>
        <w:t>，设立专项基金，整合各类涉农教育培训资金，针对产业园内的中小型乳品企业、新型职业农民、家庭农（牧）场、农民合作社及企业带头人、创业创新人员等，根据其自身特点及能力素质要求，科学制定并实施教育培训计划。</w:t>
      </w:r>
    </w:p>
    <w:p>
      <w:pPr>
        <w:pStyle w:val="4"/>
        <w:ind w:firstLine="562"/>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加强技术推广服务</w:t>
      </w:r>
    </w:p>
    <w:p>
      <w:pPr>
        <w:ind w:firstLine="56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依托奶牛产业技术体系及畜牧兽医推广机构，加大关键技术集成示范与推广力度，不断提升奶牛单位产出水平和生产效率。加强技能服务型人才和牧场主培训，提升基层技术推广骨干的服务能力和奶业从业人员整体素质。</w:t>
      </w:r>
    </w:p>
    <w:tbl>
      <w:tblPr>
        <w:tblStyle w:val="3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2" w:type="dxa"/>
            <w:tcBorders>
              <w:top w:val="single" w:color="auto" w:sz="4" w:space="0"/>
              <w:left w:val="single" w:color="auto" w:sz="4" w:space="0"/>
              <w:bottom w:val="single" w:color="auto" w:sz="4" w:space="0"/>
              <w:right w:val="single" w:color="auto" w:sz="4" w:space="0"/>
            </w:tcBorders>
            <w:shd w:val="clear" w:color="auto" w:fill="C2D69B" w:themeFill="accent3" w:themeFillTint="99"/>
          </w:tcPr>
          <w:p>
            <w:pPr>
              <w:spacing w:line="576" w:lineRule="auto"/>
              <w:ind w:firstLine="0" w:firstLineChars="0"/>
              <w:rPr>
                <w:rFonts w:cs="Times New Roman"/>
                <w:b/>
                <w:bCs/>
                <w:color w:val="000000" w:themeColor="text1"/>
                <w:highlight w:val="yellow"/>
                <w14:textFill>
                  <w14:solidFill>
                    <w14:schemeClr w14:val="tx1"/>
                  </w14:solidFill>
                </w14:textFill>
              </w:rPr>
            </w:pPr>
            <w:r>
              <w:rPr>
                <w:rFonts w:hint="eastAsia" w:cs="Times New Roman"/>
                <w:b/>
                <w:bCs/>
                <w:color w:val="000000" w:themeColor="text1"/>
                <w14:textFill>
                  <w14:solidFill>
                    <w14:schemeClr w14:val="tx1"/>
                  </w14:solidFill>
                </w14:textFill>
              </w:rPr>
              <w:t>专栏</w:t>
            </w:r>
            <w:r>
              <w:rPr>
                <w:rFonts w:cs="Times New Roman"/>
                <w:b/>
                <w:bCs/>
                <w:color w:val="000000" w:themeColor="text1"/>
                <w14:textFill>
                  <w14:solidFill>
                    <w14:schemeClr w14:val="tx1"/>
                  </w14:solidFill>
                </w14:textFill>
              </w:rPr>
              <w:t xml:space="preserve">4 </w:t>
            </w:r>
            <w:r>
              <w:rPr>
                <w:rFonts w:hint="eastAsia" w:cs="Times New Roman"/>
                <w:b/>
                <w:bCs/>
                <w:color w:val="000000" w:themeColor="text1"/>
                <w14:textFill>
                  <w14:solidFill>
                    <w14:schemeClr w14:val="tx1"/>
                  </w14:solidFill>
                </w14:textFill>
              </w:rPr>
              <w:t>国家乳业创高新科技高低建设工程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2" w:type="dxa"/>
            <w:tcBorders>
              <w:top w:val="single" w:color="auto" w:sz="4" w:space="0"/>
              <w:left w:val="single" w:color="auto" w:sz="4" w:space="0"/>
              <w:bottom w:val="single" w:color="auto" w:sz="4" w:space="0"/>
              <w:right w:val="single" w:color="auto" w:sz="4" w:space="0"/>
            </w:tcBorders>
          </w:tcPr>
          <w:p>
            <w:pPr>
              <w:pStyle w:val="13"/>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国家乳业科技创新中心建设项目。 </w:t>
            </w:r>
            <w:r>
              <w:rPr>
                <w:rFonts w:hint="eastAsia"/>
                <w:color w:val="000000" w:themeColor="text1"/>
                <w14:textFill>
                  <w14:solidFill>
                    <w14:schemeClr w14:val="tx1"/>
                  </w14:solidFill>
                </w14:textFill>
              </w:rPr>
              <w:t>启动国家乳业技术创新中心建设，由内蒙古乳业技术研究院牵头，发挥伊利奶科院牛、蒙牛奶业研究院、盛健奶山羊研究院、赛科星奶牛育种研究中心等平台作用，建设乳业全产业链研究中心，强化乳业科技创新能力。包括奶牛繁育与养殖技术研究、乳品营养与健康研究、乳业工艺技术与装备研究、乳品安全与品质研究。</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全球乳产业大数据中心</w:t>
            </w:r>
            <w:r>
              <w:rPr>
                <w:b/>
                <w:bCs/>
                <w:color w:val="000000" w:themeColor="text1"/>
                <w14:textFill>
                  <w14:solidFill>
                    <w14:schemeClr w14:val="tx1"/>
                  </w14:solidFill>
                </w14:textFill>
              </w:rPr>
              <w:t>项目</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依托伊利、蒙牛、盛健等龙头企业，开展全球乳产业大数据基地建设，购置服务器平台，开发大数据储存和管理软件系统，将互联网及大数据分析技术贯通于养殖、研发、生产、流通、消费等全产业链，实现与消费者的全方位互动，更好地满足消费者的差异化需求。</w:t>
            </w:r>
          </w:p>
          <w:p>
            <w:pPr>
              <w:ind w:firstLine="56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国家技术标准基地（乳业）项目。</w:t>
            </w:r>
            <w:r>
              <w:rPr>
                <w:rFonts w:hint="eastAsia"/>
                <w:color w:val="000000" w:themeColor="text1"/>
                <w14:textFill>
                  <w14:solidFill>
                    <w14:schemeClr w14:val="tx1"/>
                  </w14:solidFill>
                </w14:textFill>
              </w:rPr>
              <w:t>建设国家乳业技术标准创新基地，联合乳品行业领域相关的科研院所、行业组织、大中院校、企业等单位及专家，推进乳业科技成果创新，打造乳业全产业链的标准孵化器和标准创新服务平台。</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现代乳业技术创新服务项目。</w:t>
            </w:r>
            <w:r>
              <w:rPr>
                <w:rFonts w:hint="eastAsia"/>
                <w:color w:val="000000" w:themeColor="text1"/>
                <w:shd w:val="clear" w:color="auto" w:fill="FFFFFF"/>
                <w14:textFill>
                  <w14:solidFill>
                    <w14:schemeClr w14:val="tx1"/>
                  </w14:solidFill>
                </w14:textFill>
              </w:rPr>
              <w:t>依托科技研发平台，</w:t>
            </w:r>
            <w:r>
              <w:rPr>
                <w:rFonts w:hint="eastAsia"/>
                <w:color w:val="000000" w:themeColor="text1"/>
                <w14:textFill>
                  <w14:solidFill>
                    <w14:schemeClr w14:val="tx1"/>
                  </w14:solidFill>
                </w14:textFill>
              </w:rPr>
              <w:t>启动全球乳业人才培训中心建设，</w:t>
            </w:r>
            <w:r>
              <w:rPr>
                <w:rFonts w:hint="eastAsia"/>
                <w:color w:val="000000" w:themeColor="text1"/>
                <w:shd w:val="clear" w:color="auto" w:fill="FFFFFF"/>
                <w14:textFill>
                  <w14:solidFill>
                    <w14:schemeClr w14:val="tx1"/>
                  </w14:solidFill>
                </w14:textFill>
              </w:rPr>
              <w:t>加强科技推广与服务，全面提升科技创新和技术服务能力，每年开展奶业从业人员培训</w:t>
            </w:r>
            <w:r>
              <w:rPr>
                <w:color w:val="000000" w:themeColor="text1"/>
                <w:shd w:val="clear" w:color="auto" w:fill="FFFFFF"/>
                <w14:textFill>
                  <w14:solidFill>
                    <w14:schemeClr w14:val="tx1"/>
                  </w14:solidFill>
                </w14:textFill>
              </w:rPr>
              <w:t>2000</w:t>
            </w:r>
            <w:r>
              <w:rPr>
                <w:rFonts w:hint="eastAsia"/>
                <w:color w:val="000000" w:themeColor="text1"/>
                <w:shd w:val="clear" w:color="auto" w:fill="FFFFFF"/>
                <w14:textFill>
                  <w14:solidFill>
                    <w14:schemeClr w14:val="tx1"/>
                  </w14:solidFill>
                </w14:textFill>
              </w:rPr>
              <w:t>人次，有力支撑奶业高质量发展。</w:t>
            </w:r>
          </w:p>
        </w:tc>
      </w:tr>
    </w:tbl>
    <w:p>
      <w:pPr>
        <w:widowControl/>
        <w:spacing w:before="340" w:after="330" w:line="578" w:lineRule="auto"/>
        <w:ind w:left="420" w:firstLine="0" w:firstLineChars="0"/>
        <w:jc w:val="center"/>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br w:type="page"/>
      </w:r>
    </w:p>
    <w:p>
      <w:pPr>
        <w:pStyle w:val="2"/>
        <w:rPr>
          <w:color w:val="000000" w:themeColor="text1"/>
          <w14:textFill>
            <w14:solidFill>
              <w14:schemeClr w14:val="tx1"/>
            </w14:solidFill>
          </w14:textFill>
        </w:rPr>
      </w:pPr>
      <w:bookmarkStart w:id="60" w:name="_Toc80215065"/>
      <w:r>
        <w:rPr>
          <w:color w:val="000000" w:themeColor="text1"/>
          <w14:textFill>
            <w14:solidFill>
              <w14:schemeClr w14:val="tx1"/>
            </w14:solidFill>
          </w14:textFill>
        </w:rPr>
        <w:t>强化支撑保障体系</w:t>
      </w:r>
      <w:r>
        <w:rPr>
          <w:rFonts w:hint="eastAsia"/>
          <w:color w:val="000000" w:themeColor="text1"/>
          <w14:textFill>
            <w14:solidFill>
              <w14:schemeClr w14:val="tx1"/>
            </w14:solidFill>
          </w14:textFill>
        </w:rPr>
        <w:t>建设</w:t>
      </w:r>
      <w:bookmarkEnd w:id="60"/>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深入推进现代乳业质量安全监管体系建设，提升市场交易服务能力，推进金融服务和政策支持体系不断完善，大幅提升现代乳业发展支撑保障能力，推进全市乳业稳步可持续发展。</w:t>
      </w:r>
    </w:p>
    <w:p>
      <w:pPr>
        <w:pStyle w:val="3"/>
        <w:ind w:firstLine="643"/>
        <w:rPr>
          <w:color w:val="000000" w:themeColor="text1"/>
          <w14:textFill>
            <w14:solidFill>
              <w14:schemeClr w14:val="tx1"/>
            </w14:solidFill>
          </w14:textFill>
        </w:rPr>
      </w:pPr>
      <w:bookmarkStart w:id="61" w:name="_Toc80215066"/>
      <w:r>
        <w:rPr>
          <w:rFonts w:hint="eastAsia"/>
          <w:color w:val="000000" w:themeColor="text1"/>
          <w14:textFill>
            <w14:solidFill>
              <w14:schemeClr w14:val="tx1"/>
            </w14:solidFill>
          </w14:textFill>
        </w:rPr>
        <w:t>强化质量安全监管体系</w:t>
      </w:r>
      <w:bookmarkEnd w:id="61"/>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以保障消费安全为宗旨，以追溯到责任主体为基本要求，以标识为载体，以信息化为手段，强化养殖环节饲料、兽药等投入品监管，从源头上保障生鲜乳质量安全，不断增强乳产品质量安全监管和保障水平。</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完善乳品检验检测体系</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加强乳制品标准化建设，规范和统一牧场管理、乳品运输、乳制品加工工艺、乳品质量控制、乳品检验技术等行业标准，保障乳品质量和安全。加强乳品检验能力建设，鼓励采取财政补贴、购销双方付费的方式，探索建立生鲜乳收购第三方质量检测中心，推行第三方检测，减少生鲜乳购销质量争议。支持奶业大县、乳品企业和有条件的奶牛养殖场自建乳品检验检测体系。坚持执法检查与监督抽查联动，行政与司法衔接，严厉打击违法添加行为。</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健全质量安全追溯体系</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启动乳产品质量追溯试点，优先将“二品一标”乳产品纳入质量追溯试点范围，将乳脂率、乳蛋白率纳入追溯试点内容，推动乳产品生产、收购、销售、消费等实现全链条可追溯。严格审查生鲜乳收购市场准入，规范生鲜乳收购许可证核发工作。加强对中小型乳产品企业的全程监管。加强复原乳监管，严格落实标识制度。</w:t>
      </w:r>
    </w:p>
    <w:p>
      <w:pPr>
        <w:pStyle w:val="3"/>
        <w:ind w:firstLine="643"/>
        <w:rPr>
          <w:color w:val="000000" w:themeColor="text1"/>
          <w14:textFill>
            <w14:solidFill>
              <w14:schemeClr w14:val="tx1"/>
            </w14:solidFill>
          </w14:textFill>
        </w:rPr>
      </w:pPr>
      <w:bookmarkStart w:id="62" w:name="_Toc80215067"/>
      <w:r>
        <w:rPr>
          <w:rFonts w:hint="eastAsia"/>
          <w:color w:val="000000" w:themeColor="text1"/>
          <w14:textFill>
            <w14:solidFill>
              <w14:schemeClr w14:val="tx1"/>
            </w14:solidFill>
          </w14:textFill>
        </w:rPr>
        <w:t>完善市场交易服务体系</w:t>
      </w:r>
      <w:bookmarkEnd w:id="62"/>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建设国家级奶产业交易服务平台，通过打造网络平台、会展平台等方式，打造奶业全产业链相关技术、产品、装备、服务等的展览和交易集散地，推进乳制品生产、销售、运营等的数字化、智能化，推进乳业生产方式、经营方式、业务流程、传统管理方式和组织方式的升级转型，不断提升中国乳都引领能力。</w:t>
      </w:r>
    </w:p>
    <w:p>
      <w:pPr>
        <w:pStyle w:val="4"/>
        <w:numPr>
          <w:ilvl w:val="2"/>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打造综合交易服务平台</w:t>
      </w:r>
    </w:p>
    <w:p>
      <w:pPr>
        <w:pStyle w:val="13"/>
        <w:ind w:firstLine="56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设</w:t>
      </w:r>
      <w:r>
        <w:rPr>
          <w:rFonts w:hint="eastAsia"/>
          <w:color w:val="000000" w:themeColor="text1"/>
          <w14:textFill>
            <w14:solidFill>
              <w14:schemeClr w14:val="tx1"/>
            </w14:solidFill>
          </w14:textFill>
        </w:rPr>
        <w:t>立呼和浩特市乳业交易中心，</w:t>
      </w:r>
      <w:r>
        <w:rPr>
          <w:rFonts w:hint="eastAsia"/>
          <w:color w:val="000000" w:themeColor="text1"/>
          <w:shd w:val="clear" w:color="auto" w:fill="FFFFFF"/>
          <w14:textFill>
            <w14:solidFill>
              <w14:schemeClr w14:val="tx1"/>
            </w14:solidFill>
          </w14:textFill>
        </w:rPr>
        <w:t>打造</w:t>
      </w:r>
      <w:r>
        <w:rPr>
          <w:color w:val="000000" w:themeColor="text1"/>
          <w:shd w:val="clear" w:color="auto" w:fill="FFFFFF"/>
          <w14:textFill>
            <w14:solidFill>
              <w14:schemeClr w14:val="tx1"/>
            </w14:solidFill>
          </w14:textFill>
        </w:rPr>
        <w:t>集买卖交易、融资支付、物流配送等多功能的综合性交易平台，提供线上招标采购、饲草料交易买卖、供应链融资、从业者再教育</w:t>
      </w:r>
      <w:r>
        <w:rPr>
          <w:rFonts w:hint="eastAsia"/>
          <w:color w:val="000000" w:themeColor="text1"/>
          <w:shd w:val="clear" w:color="auto" w:fill="FFFFFF"/>
          <w14:textFill>
            <w14:solidFill>
              <w14:schemeClr w14:val="tx1"/>
            </w14:solidFill>
          </w14:textFill>
        </w:rPr>
        <w:t>、</w:t>
      </w:r>
      <w:r>
        <w:rPr>
          <w:color w:val="000000" w:themeColor="text1"/>
          <w:shd w:val="clear" w:color="auto" w:fill="FFFFFF"/>
          <w14:textFill>
            <w14:solidFill>
              <w14:schemeClr w14:val="tx1"/>
            </w14:solidFill>
          </w14:textFill>
        </w:rPr>
        <w:t>活体牛交易、进出口贸易等多板块服务</w:t>
      </w:r>
      <w:r>
        <w:rPr>
          <w:rFonts w:hint="eastAsia"/>
          <w:color w:val="000000" w:themeColor="text1"/>
          <w:shd w:val="clear" w:color="auto" w:fill="FFFFFF"/>
          <w14:textFill>
            <w14:solidFill>
              <w14:schemeClr w14:val="tx1"/>
            </w14:solidFill>
          </w14:textFill>
        </w:rPr>
        <w:t>。</w:t>
      </w:r>
      <w:r>
        <w:rPr>
          <w:color w:val="000000" w:themeColor="text1"/>
          <w:shd w:val="clear" w:color="auto" w:fill="FFFFFF"/>
          <w14:textFill>
            <w14:solidFill>
              <w14:schemeClr w14:val="tx1"/>
            </w14:solidFill>
          </w14:textFill>
        </w:rPr>
        <w:t>整合供应链上下游资源，成立行业采购联盟，为牧场提供个性化服务，精细化定价及产品代工，对农牧业产品做全年的预算采购和计划采购，为终端使用者长效布局，从而和供应商形成长期的合作关系，为牧场与供应商之间建立公开、透明的信息共享平台。</w:t>
      </w:r>
      <w:r>
        <w:rPr>
          <w:rFonts w:hint="eastAsia"/>
          <w:color w:val="000000" w:themeColor="text1"/>
          <w14:textFill>
            <w14:solidFill>
              <w14:schemeClr w14:val="tx1"/>
            </w14:solidFill>
          </w14:textFill>
        </w:rPr>
        <w:t>探索建立“</w:t>
      </w:r>
      <w:r>
        <w:rPr>
          <w:color w:val="000000" w:themeColor="text1"/>
          <w14:textFill>
            <w14:solidFill>
              <w14:schemeClr w14:val="tx1"/>
            </w14:solidFill>
          </w14:textFill>
        </w:rPr>
        <w:t>供应链+B2B电商+</w:t>
      </w:r>
      <w:r>
        <w:rPr>
          <w:rFonts w:hint="eastAsia"/>
          <w:color w:val="000000" w:themeColor="text1"/>
          <w14:textFill>
            <w14:solidFill>
              <w14:schemeClr w14:val="tx1"/>
            </w14:solidFill>
          </w14:textFill>
        </w:rPr>
        <w:t>金融服务+</w:t>
      </w:r>
      <w:r>
        <w:rPr>
          <w:color w:val="000000" w:themeColor="text1"/>
          <w14:textFill>
            <w14:solidFill>
              <w14:schemeClr w14:val="tx1"/>
            </w14:solidFill>
          </w14:textFill>
        </w:rPr>
        <w:t>交易</w:t>
      </w:r>
      <w:r>
        <w:rPr>
          <w:rFonts w:hint="eastAsia"/>
          <w:color w:val="000000" w:themeColor="text1"/>
          <w14:textFill>
            <w14:solidFill>
              <w14:schemeClr w14:val="tx1"/>
            </w14:solidFill>
          </w14:textFill>
        </w:rPr>
        <w:t>所”商业模式。搭建乳业产业链信用体系，线上交易模式创新，线下货物交收，物流仓储体系布局，金融服务不断创新拓展，建立完善价格</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物流</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库存三大指数体系，搭建市场流通标准，夯实产业链交易基础，打造优质产业供应链，为牧场、供应商提供精准营销服务和供应链金融服务。</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大力发展电子商务</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支持互联网+现代奶业发展，鼓励大型重点企业联合建立内蒙古特产电商平台，吸纳自治区范围内优质企业和产品，拓展销售范围，打造草原绿色食品线上销售平台。支持中小乳业加工</w:t>
      </w:r>
      <w:r>
        <w:rPr>
          <w:color w:val="000000" w:themeColor="text1"/>
          <w14:textFill>
            <w14:solidFill>
              <w14:schemeClr w14:val="tx1"/>
            </w14:solidFill>
          </w14:textFill>
        </w:rPr>
        <w:t>企业</w:t>
      </w:r>
      <w:r>
        <w:rPr>
          <w:rFonts w:hint="eastAsia"/>
          <w:color w:val="000000" w:themeColor="text1"/>
          <w14:textFill>
            <w14:solidFill>
              <w14:schemeClr w14:val="tx1"/>
            </w14:solidFill>
          </w14:textFill>
        </w:rPr>
        <w:t>开展社区直营店建设，对接北京、天津等中心城市，促进直销业态发展，加强农超、农社、农校、农企对接。推动奶产品上网销售，打造集零售体验、品牌连锁、电商等多种形式为一体的销售新模式，形成一批电子商务龙头企业，把绿色有机奶产品推向全国，走向世界，打造国际品牌。</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发展会展贸易服务</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定期举办内蒙古奶业博览会，围绕奶源基地建设、先进养殖技术、养殖装备机械、奶制品加工与包装、新产品和相关服务等，邀请国内外龙头企业、行业媒体、金融服务机构、经销商渠道商、专家学者等，积极参与，从技术产品、质量追溯、咨询培训、金融贷款、风险投资、保险贸易、认证机构、品牌营销等全方位开展展览，打造现代奶业交流、学习、贸易、合作的平台，提升中国乳都品牌形象。</w:t>
      </w:r>
    </w:p>
    <w:p>
      <w:pPr>
        <w:pStyle w:val="3"/>
        <w:ind w:firstLine="643"/>
        <w:rPr>
          <w:color w:val="000000" w:themeColor="text1"/>
          <w14:textFill>
            <w14:solidFill>
              <w14:schemeClr w14:val="tx1"/>
            </w14:solidFill>
          </w14:textFill>
        </w:rPr>
      </w:pPr>
      <w:bookmarkStart w:id="63" w:name="_Toc80215068"/>
      <w:r>
        <w:rPr>
          <w:rFonts w:hint="eastAsia"/>
          <w:color w:val="000000" w:themeColor="text1"/>
          <w14:textFill>
            <w14:solidFill>
              <w14:schemeClr w14:val="tx1"/>
            </w14:solidFill>
          </w14:textFill>
        </w:rPr>
        <w:t>完善政策支持体系</w:t>
      </w:r>
      <w:bookmarkEnd w:id="63"/>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贯彻落实国家、自治区、呼和浩特市奶业发展相关方面的政策，整合涉农资金，完善乳业补贴政策，建立以绿色发展为导向的乳业补贴制度，加大财政扶持力度，重点扶持优势奶源地建设、现代乳业绿色发展项目等，引导和推动饲草种植、饲料加工、良种繁育、标准化养殖、乳畜健康管理、废弃物资源化利用等方面快速、稳定发展。</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加强财政支农力度</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强化资金投入，通过政策稳定性和连续性支持，充分发挥政策的引导作用。重点围绕优质牧草、优质奶源基地建设、奶牛良种、农机购置等环节，加大财政补贴力度，支持奶业快速发展。加强政策调研，统筹调动各种资源和力量，围绕推进现代乳业发展的重大问题和基础性问题，开展前瞻性、针对性、储备性政策研究，有针对性地创设一批重大政策和重大项目。加大农机补贴目录调整力度，将奶畜养殖场购置全混合日粮（</w:t>
      </w:r>
      <w:r>
        <w:rPr>
          <w:color w:val="000000" w:themeColor="text1"/>
          <w14:textFill>
            <w14:solidFill>
              <w14:schemeClr w14:val="tx1"/>
            </w14:solidFill>
          </w14:textFill>
        </w:rPr>
        <w:t>TMR</w:t>
      </w:r>
      <w:r>
        <w:rPr>
          <w:rFonts w:hint="eastAsia"/>
          <w:color w:val="000000" w:themeColor="text1"/>
          <w14:textFill>
            <w14:solidFill>
              <w14:schemeClr w14:val="tx1"/>
            </w14:solidFill>
          </w14:textFill>
        </w:rPr>
        <w:t>）设备以及其他养殖、饲草料收获加工储备机械、粪污处理装备机具等全程机具纳入农机购置补贴目录范围，实行敞开补贴政策，提高装备技术水平。</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保障奶业用地供应</w:t>
      </w:r>
    </w:p>
    <w:p>
      <w:pPr>
        <w:ind w:firstLine="560"/>
        <w:rPr>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创新土地流转形式，鼓励承包农户依法采取转让、出租、入股等形式流转承包地，保障饲草种植用地需求。</w:t>
      </w:r>
      <w:r>
        <w:rPr>
          <w:rFonts w:hint="eastAsia"/>
          <w:color w:val="000000" w:themeColor="text1"/>
          <w14:textFill>
            <w14:solidFill>
              <w14:schemeClr w14:val="tx1"/>
            </w14:solidFill>
          </w14:textFill>
        </w:rPr>
        <w:t>认真落实自治区自然资源厅、农牧厅《关于规范和加强设施农业用地管理的通知》（内自然资字〔2020〕310号）有关要求，在设施农业用地范围、选址与用地标准等方面对奶业发展给予支持，在荒山、荒沟、荒丘、荒滩以及农村集体建设用地安排奶畜生产。</w:t>
      </w:r>
      <w:r>
        <w:rPr>
          <w:color w:val="000000" w:themeColor="text1"/>
          <w14:textFill>
            <w14:solidFill>
              <w14:schemeClr w14:val="tx1"/>
            </w14:solidFill>
          </w14:textFill>
        </w:rPr>
        <w:t>根据养殖规模增加附属设施用地规模，保障奶畜养殖生产废弃物处理等设施用地需求。</w:t>
      </w:r>
      <w:r>
        <w:rPr>
          <w:rFonts w:hint="eastAsia" w:cs="Times New Roman"/>
          <w:color w:val="000000" w:themeColor="text1"/>
          <w14:textFill>
            <w14:solidFill>
              <w14:schemeClr w14:val="tx1"/>
            </w14:solidFill>
          </w14:textFill>
        </w:rPr>
        <w:t>在符合土地利用总体规划前提下，支持旗县区政府调整优化村庄用地布局，安排一定比例年度土地利用计划，专项支持乳业产业链发展。引导企业利用存量建设用地进行乳产品加工、冷链仓储等项目建设。</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推进金融服务体系</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努力解决乳企金融服务短板，支持商业银行等金融机构创新乳业产业链信贷产品，对新建奶牛牧场和外购奶牛进行贷款贴息。充分发挥财政资金引导作用和杠杆作用，撬动银行资金。建立和完善符合各类乳业产业链主体特点的信用评价体系，提升信贷服务质量。推进乳业产业链保险项目建设，加大财政对涉乳产业链保险项目的财政补贴，针对饲草种植、乳畜养殖等行业建立更加完善的保险产品，加大财政对涉乳产业链保险项目的财政补贴，扩大奶牛养殖保险比例，降低涉乳产业链投资风险，促进涉乳产业链企业稳步发展。</w:t>
      </w:r>
    </w:p>
    <w:p>
      <w:pPr>
        <w:pStyle w:val="3"/>
        <w:ind w:firstLine="643"/>
        <w:rPr>
          <w:color w:val="000000" w:themeColor="text1"/>
          <w14:textFill>
            <w14:solidFill>
              <w14:schemeClr w14:val="tx1"/>
            </w14:solidFill>
          </w14:textFill>
        </w:rPr>
      </w:pPr>
      <w:bookmarkStart w:id="64" w:name="_Toc80215069"/>
      <w:r>
        <w:rPr>
          <w:rFonts w:hint="eastAsia"/>
          <w:color w:val="000000" w:themeColor="text1"/>
          <w14:textFill>
            <w14:solidFill>
              <w14:schemeClr w14:val="tx1"/>
            </w14:solidFill>
          </w14:textFill>
        </w:rPr>
        <w:t>提升优势品牌影响力</w:t>
      </w:r>
      <w:bookmarkEnd w:id="64"/>
    </w:p>
    <w:p>
      <w:pPr>
        <w:pStyle w:val="56"/>
        <w:ind w:firstLine="56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启动国产乳品品牌营造行动，培育区域品牌、打造自有产品品牌、注重民族品牌保护及宣传，提升中国乳品在国内及</w:t>
      </w:r>
      <w:r>
        <w:rPr>
          <w:rFonts w:hint="eastAsia"/>
          <w:color w:val="000000" w:themeColor="text1"/>
          <w:szCs w:val="28"/>
          <w:shd w:val="clear" w:color="auto" w:fill="FFFFFF"/>
          <w14:textFill>
            <w14:solidFill>
              <w14:schemeClr w14:val="tx1"/>
            </w14:solidFill>
          </w14:textFill>
        </w:rPr>
        <w:t>国外市场的知名度和品牌力</w:t>
      </w:r>
      <w:r>
        <w:rPr>
          <w:rFonts w:hint="eastAsia"/>
          <w:color w:val="000000" w:themeColor="text1"/>
          <w:shd w:val="clear" w:color="auto" w:fill="FFFFFF"/>
          <w14:textFill>
            <w14:solidFill>
              <w14:schemeClr w14:val="tx1"/>
            </w14:solidFill>
          </w14:textFill>
        </w:rPr>
        <w:t>。到</w:t>
      </w:r>
      <w:r>
        <w:rPr>
          <w:color w:val="000000" w:themeColor="text1"/>
          <w:shd w:val="clear" w:color="auto" w:fill="FFFFFF"/>
          <w14:textFill>
            <w14:solidFill>
              <w14:schemeClr w14:val="tx1"/>
            </w14:solidFill>
          </w14:textFill>
        </w:rPr>
        <w:t>2025</w:t>
      </w:r>
      <w:r>
        <w:rPr>
          <w:rFonts w:hint="eastAsia"/>
          <w:color w:val="000000" w:themeColor="text1"/>
          <w:shd w:val="clear" w:color="auto" w:fill="FFFFFF"/>
          <w14:textFill>
            <w14:solidFill>
              <w14:schemeClr w14:val="tx1"/>
            </w14:solidFill>
          </w14:textFill>
        </w:rPr>
        <w:t>年，企业、合作社自有商标的比例达到</w:t>
      </w:r>
      <w:r>
        <w:rPr>
          <w:color w:val="000000" w:themeColor="text1"/>
          <w:shd w:val="clear" w:color="auto" w:fill="FFFFFF"/>
          <w14:textFill>
            <w14:solidFill>
              <w14:schemeClr w14:val="tx1"/>
            </w14:solidFill>
          </w14:textFill>
        </w:rPr>
        <w:t>90%</w:t>
      </w:r>
      <w:r>
        <w:rPr>
          <w:rFonts w:hint="eastAsia"/>
          <w:color w:val="000000" w:themeColor="text1"/>
          <w:shd w:val="clear" w:color="auto" w:fill="FFFFFF"/>
          <w14:textFill>
            <w14:solidFill>
              <w14:schemeClr w14:val="tx1"/>
            </w14:solidFill>
          </w14:textFill>
        </w:rPr>
        <w:t>以上，新增国内及国际知名乳产品品牌</w:t>
      </w:r>
      <w:r>
        <w:rPr>
          <w:color w:val="000000" w:themeColor="text1"/>
          <w:shd w:val="clear" w:color="auto" w:fill="FFFFFF"/>
          <w14:textFill>
            <w14:solidFill>
              <w14:schemeClr w14:val="tx1"/>
            </w14:solidFill>
          </w14:textFill>
        </w:rPr>
        <w:t>5</w:t>
      </w:r>
      <w:r>
        <w:rPr>
          <w:rFonts w:hint="eastAsia"/>
          <w:color w:val="000000" w:themeColor="text1"/>
          <w:shd w:val="clear" w:color="auto" w:fill="FFFFFF"/>
          <w14:textFill>
            <w14:solidFill>
              <w14:schemeClr w14:val="tx1"/>
            </w14:solidFill>
          </w14:textFill>
        </w:rPr>
        <w:t>个，认证品牌达100个，产品品牌价值增长600亿元。</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加强品牌培育</w:t>
      </w:r>
    </w:p>
    <w:p>
      <w:pPr>
        <w:ind w:firstLine="562"/>
        <w:rPr>
          <w:color w:val="000000" w:themeColor="text1"/>
          <w14:textFill>
            <w14:solidFill>
              <w14:schemeClr w14:val="tx1"/>
            </w14:solidFill>
          </w14:textFill>
        </w:rPr>
      </w:pPr>
      <w:r>
        <w:rPr>
          <w:rFonts w:hint="eastAsia"/>
          <w:b/>
          <w:color w:val="000000" w:themeColor="text1"/>
          <w14:textFill>
            <w14:solidFill>
              <w14:schemeClr w14:val="tx1"/>
            </w14:solidFill>
          </w14:textFill>
        </w:rPr>
        <w:t>一是培育区域公用品牌。</w:t>
      </w:r>
      <w:r>
        <w:rPr>
          <w:rFonts w:hint="eastAsia"/>
          <w:color w:val="000000" w:themeColor="text1"/>
          <w14:textFill>
            <w14:solidFill>
              <w14:schemeClr w14:val="tx1"/>
            </w14:solidFill>
          </w14:textFill>
        </w:rPr>
        <w:t>培育提升地方区域公用品牌，将品牌打造与特色农畜产品优势区建设以及“二品一标”产品认证紧密结合。支持专业合作社、社会团体等申请注册地理标志商标、集体商标和证明商标，申报地理标志产品保护，支持打造传统奶制品区域公用品牌，引导企业积极开展“中国乳都”“敕勒川味道”等区域公共品牌商标认证。</w:t>
      </w:r>
    </w:p>
    <w:p>
      <w:pPr>
        <w:ind w:firstLine="562"/>
        <w:rPr>
          <w:color w:val="000000" w:themeColor="text1"/>
          <w14:textFill>
            <w14:solidFill>
              <w14:schemeClr w14:val="tx1"/>
            </w14:solidFill>
          </w14:textFill>
        </w:rPr>
      </w:pPr>
      <w:r>
        <w:rPr>
          <w:rFonts w:hint="eastAsia"/>
          <w:b/>
          <w:color w:val="000000" w:themeColor="text1"/>
          <w14:textFill>
            <w14:solidFill>
              <w14:schemeClr w14:val="tx1"/>
            </w14:solidFill>
          </w14:textFill>
        </w:rPr>
        <w:t>二是打造产品品牌。</w:t>
      </w:r>
      <w:r>
        <w:rPr>
          <w:rFonts w:hint="eastAsia"/>
          <w:color w:val="000000" w:themeColor="text1"/>
          <w14:textFill>
            <w14:solidFill>
              <w14:schemeClr w14:val="tx1"/>
            </w14:solidFill>
          </w14:textFill>
        </w:rPr>
        <w:t>加强宣传，鼓励企业注册自有商标，提高企业、合作社负责人的品牌意识，支持乳制品加工企业进行地理标志产品和绿色、有机食品认证，引导加工企业结合品牌资源，开展推介营销，打造名牌产品。至2025年</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新增国内和国际知名乳产品品牌5个以上。</w:t>
      </w:r>
    </w:p>
    <w:p>
      <w:pPr>
        <w:ind w:firstLine="562"/>
        <w:rPr>
          <w:rFonts w:cs="Times New Roman"/>
          <w:color w:val="000000" w:themeColor="text1"/>
          <w14:textFill>
            <w14:solidFill>
              <w14:schemeClr w14:val="tx1"/>
            </w14:solidFill>
          </w14:textFill>
        </w:rPr>
      </w:pPr>
      <w:r>
        <w:rPr>
          <w:rFonts w:hint="eastAsia"/>
          <w:b/>
          <w:color w:val="000000" w:themeColor="text1"/>
          <w14:textFill>
            <w14:solidFill>
              <w14:schemeClr w14:val="tx1"/>
            </w14:solidFill>
          </w14:textFill>
        </w:rPr>
        <w:t>三是加强民族品牌保护。</w:t>
      </w:r>
      <w:r>
        <w:rPr>
          <w:rFonts w:hint="eastAsia"/>
          <w:color w:val="000000" w:themeColor="text1"/>
          <w14:textFill>
            <w14:solidFill>
              <w14:schemeClr w14:val="tx1"/>
            </w14:solidFill>
          </w14:textFill>
        </w:rPr>
        <w:t>鼓励保护和发展地理标志农畜产品，支持企业注册地理标志商标，扶持乳产品加工企业申请认定中国驰名商标和自治区著名商标。至2025年</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新增认证品牌达1</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个，产品品牌价值增长</w:t>
      </w:r>
      <w:r>
        <w:rPr>
          <w:color w:val="000000" w:themeColor="text1"/>
          <w14:textFill>
            <w14:solidFill>
              <w14:schemeClr w14:val="tx1"/>
            </w14:solidFill>
          </w14:textFill>
        </w:rPr>
        <w:t>600</w:t>
      </w:r>
      <w:r>
        <w:rPr>
          <w:rFonts w:hint="eastAsia"/>
          <w:color w:val="000000" w:themeColor="text1"/>
          <w14:textFill>
            <w14:solidFill>
              <w14:schemeClr w14:val="tx1"/>
            </w14:solidFill>
          </w14:textFill>
        </w:rPr>
        <w:t>亿元。</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注重品牌宣传</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创新宣传方法，通过电视、网络等公共媒体和新媒体，加强区域品牌、企业品牌、产品品牌宣传力度；充分利用农博会、交易会、媒体宣传、户外广告和展销会等平台，集中宣传报道。</w:t>
      </w:r>
      <w:r>
        <w:rPr>
          <w:rFonts w:hint="eastAsia" w:ascii="宋体" w:hAnsi="宋体"/>
          <w:color w:val="000000" w:themeColor="text1"/>
          <w14:textFill>
            <w14:solidFill>
              <w14:schemeClr w14:val="tx1"/>
            </w14:solidFill>
          </w14:textFill>
        </w:rPr>
        <w:t>建立优质农畜产品品牌宣传推广目录，</w:t>
      </w:r>
      <w:r>
        <w:rPr>
          <w:rFonts w:hint="eastAsia"/>
          <w:color w:val="000000" w:themeColor="text1"/>
          <w14:textFill>
            <w14:solidFill>
              <w14:schemeClr w14:val="tx1"/>
            </w14:solidFill>
          </w14:textFill>
        </w:rPr>
        <w:t>注重乳产品内在文化内涵和外在包装设计，统一强化系列乳产品的形象塑造、集中宣传，打造“中国乳都”“敕勒川味道”等品牌形象，叫响</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乳清香</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乳醇香</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等一批呼和浩特乳产品品牌。</w:t>
      </w:r>
    </w:p>
    <w:p>
      <w:pPr>
        <w:pStyle w:val="3"/>
        <w:ind w:firstLine="643"/>
        <w:rPr>
          <w:color w:val="000000" w:themeColor="text1"/>
          <w14:textFill>
            <w14:solidFill>
              <w14:schemeClr w14:val="tx1"/>
            </w14:solidFill>
          </w14:textFill>
        </w:rPr>
      </w:pPr>
      <w:bookmarkStart w:id="65" w:name="_Toc80215070"/>
      <w:r>
        <w:rPr>
          <w:rFonts w:hint="eastAsia"/>
          <w:color w:val="000000" w:themeColor="text1"/>
          <w14:textFill>
            <w14:solidFill>
              <w14:schemeClr w14:val="tx1"/>
            </w14:solidFill>
          </w14:textFill>
        </w:rPr>
        <w:t>完善农企利益联结机制</w:t>
      </w:r>
      <w:bookmarkEnd w:id="65"/>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探索推进新型奶价定价机制，创新合作形式，推动构建加工企业与农户合理利益联结机制，提升农户稳定增收水平，推动全市奶业实现产业互联、资源整合、共享互促的发展机制。</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建立奶价定价机制</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成立乳品企业、养殖者、种植户参加的行业协会，定期监测养殖成本，参照原奶与成品价格合理比例，提供生鲜乳收购参考价格，引导加工企业确定合理收购价格，实行乳企收购价格公布机制，保障养殖主体合理收益严格落实购销合同。</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规范生鲜乳购销行为，指导乳品加工企业与养殖场（户）签订长期稳定的购销合同，规范购销合同内容，明确购销鲜奶奶质指标，维护生鲜乳收购秩序。依法查处拒收、限收合格生鲜乳等不履行购销合同，以及凭借购销关系强推强卖兽药、饲草料、养殖设备等行为；打击非法倒买倒卖牛奶扰乱生鲜乳市场的违规行为；依托国家企业信用信息公示系统，建立乳企、养殖场诚信记录，实行“黑名单”制度。</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构建种养加利益共同体</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推进乳品加工企业与合作牧场以相互参股、融资、重组等形式实现利益共享，支持规模养殖场、奶农合作社自建或联建特色乳品加工企业，构建 “种植户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养殖户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工厂”的新型利益共同体，提高产业发展内生动力。最后建立一个为活畜、乳业生产中的消耗品以及金融产品的交易而提供的公平、透明的交易平台。</w:t>
      </w:r>
    </w:p>
    <w:tbl>
      <w:tblPr>
        <w:tblStyle w:val="3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96" w:type="dxa"/>
            <w:shd w:val="clear" w:color="auto" w:fill="C2D69B" w:themeFill="accent3" w:themeFillTint="99"/>
            <w:vAlign w:val="center"/>
          </w:tcPr>
          <w:p>
            <w:pPr>
              <w:ind w:firstLine="562"/>
              <w:rPr>
                <w:rFonts w:ascii="仿宋_GB2312"/>
                <w:b/>
                <w:bCs/>
                <w:color w:val="000000" w:themeColor="text1"/>
                <w14:textFill>
                  <w14:solidFill>
                    <w14:schemeClr w14:val="tx1"/>
                  </w14:solidFill>
                </w14:textFill>
              </w:rPr>
            </w:pPr>
            <w:r>
              <w:rPr>
                <w:b/>
                <w:bCs/>
                <w:color w:val="000000" w:themeColor="text1"/>
                <w14:textFill>
                  <w14:solidFill>
                    <w14:schemeClr w14:val="tx1"/>
                  </w14:solidFill>
                </w14:textFill>
              </w:rPr>
              <w:t xml:space="preserve">专栏5 </w:t>
            </w:r>
            <w:r>
              <w:rPr>
                <w:rFonts w:hint="eastAsia"/>
                <w:b/>
                <w:bCs/>
                <w:color w:val="000000" w:themeColor="text1"/>
                <w14:textFill>
                  <w14:solidFill>
                    <w14:schemeClr w14:val="tx1"/>
                  </w14:solidFill>
                </w14:textFill>
              </w:rPr>
              <w:t>支撑保障体系建设</w:t>
            </w:r>
            <w:r>
              <w:rPr>
                <w:b/>
                <w:bCs/>
                <w:color w:val="000000" w:themeColor="text1"/>
                <w14:textFill>
                  <w14:solidFill>
                    <w14:schemeClr w14:val="tx1"/>
                  </w14:solidFill>
                </w14:textFill>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96" w:type="dxa"/>
            <w:shd w:val="clear" w:color="auto" w:fill="auto"/>
            <w:vAlign w:val="center"/>
          </w:tcPr>
          <w:p>
            <w:pPr>
              <w:ind w:firstLine="562"/>
              <w:rPr>
                <w:rFonts w:ascii="仿宋_GB2312" w:eastAsia="仿宋_GB2312" w:cs="Times New Roman"/>
                <w:b/>
                <w:bCs/>
                <w:color w:val="000000" w:themeColor="text1"/>
                <w:sz w:val="30"/>
                <w:szCs w:val="30"/>
                <w14:textFill>
                  <w14:solidFill>
                    <w14:schemeClr w14:val="tx1"/>
                  </w14:solidFill>
                </w14:textFill>
              </w:rPr>
            </w:pPr>
            <w:r>
              <w:rPr>
                <w:rFonts w:hint="eastAsia"/>
                <w:b/>
                <w:bCs/>
                <w:color w:val="000000" w:themeColor="text1"/>
                <w14:textFill>
                  <w14:solidFill>
                    <w14:schemeClr w14:val="tx1"/>
                  </w14:solidFill>
                </w14:textFill>
              </w:rPr>
              <w:t>质量安全监管体系建设</w:t>
            </w:r>
            <w:r>
              <w:rPr>
                <w:b/>
                <w:bCs/>
                <w:color w:val="000000" w:themeColor="text1"/>
                <w14:textFill>
                  <w14:solidFill>
                    <w14:schemeClr w14:val="tx1"/>
                  </w14:solidFill>
                </w14:textFill>
              </w:rPr>
              <w:t>项目</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加强乳品检验能力建设，建立乳业生产全程的质量监控制度以及生鲜乳质量安全管理认证和质量追溯体系建设。支持建立生鲜乳收购第三方质量检测中心，支持乳品企业和有条件的奶牛养殖场自建乳品检验检测体系。</w:t>
            </w:r>
          </w:p>
          <w:p>
            <w:pPr>
              <w:pStyle w:val="13"/>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呼和浩特市乳产业综合交易中心</w:t>
            </w:r>
            <w:r>
              <w:rPr>
                <w:b/>
                <w:bCs/>
                <w:color w:val="000000" w:themeColor="text1"/>
                <w14:textFill>
                  <w14:solidFill>
                    <w14:schemeClr w14:val="tx1"/>
                  </w14:solidFill>
                </w14:textFill>
              </w:rPr>
              <w:t>项目</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依托伊利、蒙牛等龙头企业及旗下产业互联网平台”设立呼和浩特市乳业交易中心，</w:t>
            </w:r>
            <w:r>
              <w:rPr>
                <w:rFonts w:hint="eastAsia"/>
                <w:color w:val="000000" w:themeColor="text1"/>
                <w:shd w:val="clear" w:color="auto" w:fill="FFFFFF"/>
                <w14:textFill>
                  <w14:solidFill>
                    <w14:schemeClr w14:val="tx1"/>
                  </w14:solidFill>
                </w14:textFill>
              </w:rPr>
              <w:t>打造</w:t>
            </w:r>
            <w:r>
              <w:rPr>
                <w:color w:val="000000" w:themeColor="text1"/>
                <w:shd w:val="clear" w:color="auto" w:fill="FFFFFF"/>
                <w14:textFill>
                  <w14:solidFill>
                    <w14:schemeClr w14:val="tx1"/>
                  </w14:solidFill>
                </w14:textFill>
              </w:rPr>
              <w:t>集买卖交易、融资支付、物流配送等多功能的综合性交易平台，提供线上招标采购、饲草料交易买卖、供应链融资、从业者再教育，活体牛交易、进出口贸易等多板块服务</w:t>
            </w:r>
            <w:r>
              <w:rPr>
                <w:rFonts w:hint="eastAsia"/>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探索建立“</w:t>
            </w:r>
            <w:r>
              <w:rPr>
                <w:color w:val="000000" w:themeColor="text1"/>
                <w14:textFill>
                  <w14:solidFill>
                    <w14:schemeClr w14:val="tx1"/>
                  </w14:solidFill>
                </w14:textFill>
              </w:rPr>
              <w:t>供应链+B2B电商+</w:t>
            </w:r>
            <w:r>
              <w:rPr>
                <w:rFonts w:hint="eastAsia"/>
                <w:color w:val="000000" w:themeColor="text1"/>
                <w14:textFill>
                  <w14:solidFill>
                    <w14:schemeClr w14:val="tx1"/>
                  </w14:solidFill>
                </w14:textFill>
              </w:rPr>
              <w:t>金融服务+</w:t>
            </w:r>
            <w:r>
              <w:rPr>
                <w:color w:val="000000" w:themeColor="text1"/>
                <w14:textFill>
                  <w14:solidFill>
                    <w14:schemeClr w14:val="tx1"/>
                  </w14:solidFill>
                </w14:textFill>
              </w:rPr>
              <w:t>交易</w:t>
            </w:r>
            <w:r>
              <w:rPr>
                <w:rFonts w:hint="eastAsia"/>
                <w:color w:val="000000" w:themeColor="text1"/>
                <w14:textFill>
                  <w14:solidFill>
                    <w14:schemeClr w14:val="tx1"/>
                  </w14:solidFill>
                </w14:textFill>
              </w:rPr>
              <w:t>所”商业模式，</w:t>
            </w:r>
            <w:r>
              <w:rPr>
                <w:color w:val="000000" w:themeColor="text1"/>
                <w:shd w:val="clear" w:color="auto" w:fill="FFFFFF"/>
                <w14:textFill>
                  <w14:solidFill>
                    <w14:schemeClr w14:val="tx1"/>
                  </w14:solidFill>
                </w14:textFill>
              </w:rPr>
              <w:t>为牧场与供应商之间建立公开、透明的信息共享平台。</w:t>
            </w:r>
          </w:p>
        </w:tc>
      </w:tr>
    </w:tbl>
    <w:p>
      <w:pPr>
        <w:pStyle w:val="56"/>
        <w:ind w:firstLine="560"/>
        <w:rPr>
          <w:b/>
          <w:bCs/>
          <w:color w:val="000000" w:themeColor="text1"/>
          <w:sz w:val="36"/>
          <w:szCs w:val="32"/>
          <w14:textFill>
            <w14:solidFill>
              <w14:schemeClr w14:val="tx1"/>
            </w14:solidFill>
          </w14:textFill>
        </w:rPr>
      </w:pPr>
      <w:r>
        <w:rPr>
          <w:color w:val="000000" w:themeColor="text1"/>
          <w14:textFill>
            <w14:solidFill>
              <w14:schemeClr w14:val="tx1"/>
            </w14:solidFill>
          </w14:textFill>
        </w:rPr>
        <w:br w:type="page"/>
      </w:r>
    </w:p>
    <w:p>
      <w:pPr>
        <w:pStyle w:val="2"/>
        <w:rPr>
          <w:color w:val="000000" w:themeColor="text1"/>
          <w14:textFill>
            <w14:solidFill>
              <w14:schemeClr w14:val="tx1"/>
            </w14:solidFill>
          </w14:textFill>
        </w:rPr>
      </w:pPr>
      <w:bookmarkStart w:id="66" w:name="_Toc80215071"/>
      <w:r>
        <w:rPr>
          <w:rFonts w:hint="eastAsia"/>
          <w:color w:val="000000" w:themeColor="text1"/>
          <w14:textFill>
            <w14:solidFill>
              <w14:schemeClr w14:val="tx1"/>
            </w14:solidFill>
          </w14:textFill>
        </w:rPr>
        <w:t>重点工程及投资测算</w:t>
      </w:r>
      <w:bookmarkEnd w:id="66"/>
    </w:p>
    <w:p>
      <w:pPr>
        <w:pStyle w:val="3"/>
        <w:ind w:firstLine="643"/>
        <w:rPr>
          <w:color w:val="000000" w:themeColor="text1"/>
          <w14:textFill>
            <w14:solidFill>
              <w14:schemeClr w14:val="tx1"/>
            </w14:solidFill>
          </w14:textFill>
        </w:rPr>
      </w:pPr>
      <w:bookmarkStart w:id="67" w:name="_Toc80215072"/>
      <w:r>
        <w:rPr>
          <w:rFonts w:hint="eastAsia"/>
          <w:color w:val="000000" w:themeColor="text1"/>
          <w14:textFill>
            <w14:solidFill>
              <w14:schemeClr w14:val="tx1"/>
            </w14:solidFill>
          </w14:textFill>
        </w:rPr>
        <w:t>重点工程及投资测算</w:t>
      </w:r>
      <w:bookmarkEnd w:id="67"/>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本规划</w:t>
      </w:r>
      <w:r>
        <w:rPr>
          <w:color w:val="000000" w:themeColor="text1"/>
          <w14:textFill>
            <w14:solidFill>
              <w14:schemeClr w14:val="tx1"/>
            </w14:solidFill>
          </w14:textFill>
        </w:rPr>
        <w:t>总投资178.15</w:t>
      </w:r>
      <w:r>
        <w:rPr>
          <w:rFonts w:hint="eastAsia"/>
          <w:color w:val="000000" w:themeColor="text1"/>
          <w14:textFill>
            <w14:solidFill>
              <w14:schemeClr w14:val="tx1"/>
            </w14:solidFill>
          </w14:textFill>
        </w:rPr>
        <w:t>亿</w:t>
      </w:r>
      <w:r>
        <w:rPr>
          <w:color w:val="000000" w:themeColor="text1"/>
          <w14:textFill>
            <w14:solidFill>
              <w14:schemeClr w14:val="tx1"/>
            </w14:solidFill>
          </w14:textFill>
        </w:rPr>
        <w:t>元，涉及5大工程</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2个项目。</w:t>
      </w:r>
      <w:r>
        <w:rPr>
          <w:rFonts w:hint="eastAsia"/>
          <w:color w:val="000000" w:themeColor="text1"/>
          <w14:textFill>
            <w14:solidFill>
              <w14:schemeClr w14:val="tx1"/>
            </w14:solidFill>
          </w14:textFill>
        </w:rPr>
        <w:t>其中：优势奶源基地建设工程共投资113.5亿元，占总投资的63.</w:t>
      </w:r>
      <w:r>
        <w:rPr>
          <w:color w:val="000000" w:themeColor="text1"/>
          <w14:textFill>
            <w14:solidFill>
              <w14:schemeClr w14:val="tx1"/>
            </w14:solidFill>
          </w14:textFill>
        </w:rPr>
        <w:t>71</w:t>
      </w:r>
      <w:r>
        <w:rPr>
          <w:rFonts w:hint="eastAsia"/>
          <w:color w:val="000000" w:themeColor="text1"/>
          <w14:textFill>
            <w14:solidFill>
              <w14:schemeClr w14:val="tx1"/>
            </w14:solidFill>
          </w14:textFill>
        </w:rPr>
        <w:t>%；现代奶业绿色发展工程共投资4.67亿元，占总投资的2.62%；现代乳业全产业链集群建设重点工程共投资40.</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亿元，占总投资的22.</w:t>
      </w:r>
      <w:r>
        <w:rPr>
          <w:color w:val="000000" w:themeColor="text1"/>
          <w14:textFill>
            <w14:solidFill>
              <w14:schemeClr w14:val="tx1"/>
            </w14:solidFill>
          </w14:textFill>
        </w:rPr>
        <w:t>62</w:t>
      </w:r>
      <w:r>
        <w:rPr>
          <w:rFonts w:hint="eastAsia"/>
          <w:color w:val="000000" w:themeColor="text1"/>
          <w14:textFill>
            <w14:solidFill>
              <w14:schemeClr w14:val="tx1"/>
            </w14:solidFill>
          </w14:textFill>
        </w:rPr>
        <w:t>%；国家乳业科技创新建设工程共投资1.</w:t>
      </w:r>
      <w:r>
        <w:rPr>
          <w:color w:val="000000" w:themeColor="text1"/>
          <w14:textFill>
            <w14:solidFill>
              <w14:schemeClr w14:val="tx1"/>
            </w14:solidFill>
          </w14:textFill>
        </w:rPr>
        <w:t>18</w:t>
      </w:r>
      <w:r>
        <w:rPr>
          <w:rFonts w:hint="eastAsia"/>
          <w:color w:val="000000" w:themeColor="text1"/>
          <w14:textFill>
            <w14:solidFill>
              <w14:schemeClr w14:val="tx1"/>
            </w14:solidFill>
          </w14:textFill>
        </w:rPr>
        <w:t>亿元，占总投资的0.</w:t>
      </w:r>
      <w:r>
        <w:rPr>
          <w:color w:val="000000" w:themeColor="text1"/>
          <w14:textFill>
            <w14:solidFill>
              <w14:schemeClr w14:val="tx1"/>
            </w14:solidFill>
          </w14:textFill>
        </w:rPr>
        <w:t>66</w:t>
      </w:r>
      <w:r>
        <w:rPr>
          <w:rFonts w:hint="eastAsia"/>
          <w:color w:val="000000" w:themeColor="text1"/>
          <w14:textFill>
            <w14:solidFill>
              <w14:schemeClr w14:val="tx1"/>
            </w14:solidFill>
          </w14:textFill>
        </w:rPr>
        <w:t>%；支撑保障体系建设工程共投资18.5亿元，占总投资的10.3</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w:t>
      </w:r>
    </w:p>
    <w:p>
      <w:pPr>
        <w:ind w:firstLine="0" w:firstLineChars="0"/>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表</w:t>
      </w:r>
      <w:r>
        <w:rPr>
          <w:b/>
          <w:bCs/>
          <w:color w:val="000000" w:themeColor="text1"/>
          <w:sz w:val="24"/>
          <w:szCs w:val="24"/>
          <w14:textFill>
            <w14:solidFill>
              <w14:schemeClr w14:val="tx1"/>
            </w14:solidFill>
          </w14:textFill>
        </w:rPr>
        <w:t>9-1</w:t>
      </w:r>
      <w:r>
        <w:rPr>
          <w:rFonts w:hint="eastAsia"/>
          <w:b/>
          <w:bCs/>
          <w:color w:val="000000" w:themeColor="text1"/>
          <w:sz w:val="24"/>
          <w:szCs w:val="24"/>
          <w14:textFill>
            <w14:solidFill>
              <w14:schemeClr w14:val="tx1"/>
            </w14:solidFill>
          </w14:textFill>
        </w:rPr>
        <w:t>工程项目及投资估算表</w:t>
      </w:r>
    </w:p>
    <w:tbl>
      <w:tblPr>
        <w:tblStyle w:val="34"/>
        <w:tblW w:w="8427" w:type="dxa"/>
        <w:tblInd w:w="0" w:type="dxa"/>
        <w:tblLayout w:type="fixed"/>
        <w:tblCellMar>
          <w:top w:w="0" w:type="dxa"/>
          <w:left w:w="108" w:type="dxa"/>
          <w:bottom w:w="0" w:type="dxa"/>
          <w:right w:w="108" w:type="dxa"/>
        </w:tblCellMar>
      </w:tblPr>
      <w:tblGrid>
        <w:gridCol w:w="679"/>
        <w:gridCol w:w="4939"/>
        <w:gridCol w:w="2809"/>
      </w:tblGrid>
      <w:tr>
        <w:tblPrEx>
          <w:tblCellMar>
            <w:top w:w="0" w:type="dxa"/>
            <w:left w:w="108" w:type="dxa"/>
            <w:bottom w:w="0" w:type="dxa"/>
            <w:right w:w="108" w:type="dxa"/>
          </w:tblCellMar>
        </w:tblPrEx>
        <w:trPr>
          <w:trHeight w:val="260" w:hRule="atLeast"/>
          <w:tblHeader/>
        </w:trPr>
        <w:tc>
          <w:tcPr>
            <w:tcW w:w="67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ascii="宋体" w:hAnsi="宋体"/>
                <w:b/>
                <w:bCs/>
                <w:color w:val="000000" w:themeColor="text1"/>
                <w:kern w:val="0"/>
                <w:sz w:val="21"/>
                <w:szCs w:val="21"/>
                <w14:textFill>
                  <w14:solidFill>
                    <w14:schemeClr w14:val="tx1"/>
                  </w14:solidFill>
                </w14:textFill>
              </w:rPr>
            </w:pPr>
            <w:r>
              <w:rPr>
                <w:rFonts w:hint="eastAsia" w:ascii="宋体" w:hAnsi="宋体"/>
                <w:b/>
                <w:bCs/>
                <w:color w:val="000000" w:themeColor="text1"/>
                <w:kern w:val="0"/>
                <w:sz w:val="21"/>
                <w:szCs w:val="21"/>
                <w14:textFill>
                  <w14:solidFill>
                    <w14:schemeClr w14:val="tx1"/>
                  </w14:solidFill>
                </w14:textFill>
              </w:rPr>
              <w:t>序号</w:t>
            </w:r>
          </w:p>
        </w:tc>
        <w:tc>
          <w:tcPr>
            <w:tcW w:w="4939" w:type="dxa"/>
            <w:tcBorders>
              <w:top w:val="single" w:color="auto" w:sz="8" w:space="0"/>
              <w:left w:val="nil"/>
              <w:bottom w:val="single" w:color="auto" w:sz="8" w:space="0"/>
              <w:right w:val="single" w:color="auto" w:sz="8" w:space="0"/>
            </w:tcBorders>
            <w:shd w:val="clear" w:color="auto" w:fill="auto"/>
            <w:vAlign w:val="center"/>
          </w:tcPr>
          <w:p>
            <w:pPr>
              <w:widowControl/>
              <w:ind w:firstLine="0" w:firstLineChars="0"/>
              <w:jc w:val="center"/>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项目名称</w:t>
            </w:r>
          </w:p>
        </w:tc>
        <w:tc>
          <w:tcPr>
            <w:tcW w:w="2809" w:type="dxa"/>
            <w:tcBorders>
              <w:top w:val="single" w:color="auto" w:sz="8" w:space="0"/>
              <w:left w:val="nil"/>
              <w:bottom w:val="single" w:color="auto" w:sz="8" w:space="0"/>
              <w:right w:val="single" w:color="auto" w:sz="8" w:space="0"/>
            </w:tcBorders>
            <w:shd w:val="clear" w:color="auto" w:fill="auto"/>
            <w:vAlign w:val="center"/>
          </w:tcPr>
          <w:p>
            <w:pPr>
              <w:widowControl/>
              <w:ind w:firstLine="0" w:firstLineChars="0"/>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计划总投资（万元）</w:t>
            </w:r>
          </w:p>
        </w:tc>
      </w:tr>
      <w:tr>
        <w:tblPrEx>
          <w:tblCellMar>
            <w:top w:w="0" w:type="dxa"/>
            <w:left w:w="108" w:type="dxa"/>
            <w:bottom w:w="0" w:type="dxa"/>
            <w:right w:w="108" w:type="dxa"/>
          </w:tblCellMar>
        </w:tblPrEx>
        <w:trPr>
          <w:trHeight w:val="274"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ascii="宋体" w:hAnsi="宋体"/>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一</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rPr>
                <w:rFonts w:ascii="宋体" w:hAnsi="宋体"/>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优势奶源基地建设工程</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eastAsia="等线" w:cs="Times New Roman"/>
                <w:b/>
                <w:bCs/>
                <w:color w:val="000000" w:themeColor="text1"/>
                <w:sz w:val="22"/>
                <w:szCs w:val="22"/>
                <w14:textFill>
                  <w14:solidFill>
                    <w14:schemeClr w14:val="tx1"/>
                  </w14:solidFill>
                </w14:textFill>
              </w:rPr>
              <w:t>1135000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1.1</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奶牛良种繁育体系建设项目</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25000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1.2</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奶（山）羊良种繁育工程项目</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2000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1.3</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现代化牧场示范基地项目</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1003000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1.4</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优质饲草良种培育项目</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30000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1.5</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优质饲草基地项目</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75000</w:t>
            </w:r>
          </w:p>
        </w:tc>
      </w:tr>
      <w:tr>
        <w:tblPrEx>
          <w:tblCellMar>
            <w:top w:w="0" w:type="dxa"/>
            <w:left w:w="108" w:type="dxa"/>
            <w:bottom w:w="0" w:type="dxa"/>
            <w:right w:w="108" w:type="dxa"/>
          </w:tblCellMar>
        </w:tblPrEx>
        <w:trPr>
          <w:trHeight w:val="274"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ascii="宋体" w:hAnsi="宋体"/>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二</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rPr>
                <w:rFonts w:ascii="宋体" w:hAnsi="宋体"/>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现代奶业绿色发展工程</w:t>
            </w:r>
          </w:p>
        </w:tc>
        <w:tc>
          <w:tcPr>
            <w:tcW w:w="2809" w:type="dxa"/>
            <w:tcBorders>
              <w:top w:val="nil"/>
              <w:left w:val="nil"/>
              <w:bottom w:val="single" w:color="auto" w:sz="8" w:space="0"/>
              <w:right w:val="single" w:color="auto" w:sz="8" w:space="0"/>
            </w:tcBorders>
            <w:shd w:val="clear" w:color="auto" w:fill="auto"/>
            <w:noWrap/>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eastAsia="等线" w:cs="Times New Roman"/>
                <w:b/>
                <w:bCs/>
                <w:color w:val="000000" w:themeColor="text1"/>
                <w:sz w:val="22"/>
                <w:szCs w:val="22"/>
                <w14:textFill>
                  <w14:solidFill>
                    <w14:schemeClr w14:val="tx1"/>
                  </w14:solidFill>
                </w14:textFill>
              </w:rPr>
              <w:t>46700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eastAsia="楷体_GB2312" w:cs="Times New Roman"/>
                <w:b/>
                <w:bCs/>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2.1</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动物疫病防控项目</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5000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eastAsia="楷体_GB2312" w:cs="Times New Roman"/>
                <w:b/>
                <w:bCs/>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2.2</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奶畜规模化养殖场粪污处理设施改造项目</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32000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eastAsia="楷体_GB2312" w:cs="Times New Roman"/>
                <w:b/>
                <w:bCs/>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2.3</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病死畜禽无害化处理项目</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9700</w:t>
            </w:r>
          </w:p>
        </w:tc>
      </w:tr>
      <w:tr>
        <w:tblPrEx>
          <w:tblCellMar>
            <w:top w:w="0" w:type="dxa"/>
            <w:left w:w="108" w:type="dxa"/>
            <w:bottom w:w="0" w:type="dxa"/>
            <w:right w:w="108" w:type="dxa"/>
          </w:tblCellMar>
        </w:tblPrEx>
        <w:trPr>
          <w:trHeight w:val="274"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ascii="宋体" w:hAnsi="宋体"/>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三</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现代乳业全产业链集群建设重点工程</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eastAsia="等线" w:cs="Times New Roman"/>
                <w:b/>
                <w:bCs/>
                <w:color w:val="000000" w:themeColor="text1"/>
                <w:sz w:val="22"/>
                <w:szCs w:val="22"/>
                <w14:textFill>
                  <w14:solidFill>
                    <w14:schemeClr w14:val="tx1"/>
                  </w14:solidFill>
                </w14:textFill>
              </w:rPr>
              <w:t>403000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3.1</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蒙牛中国奶业产业园乳制品加工项目</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190000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3.2</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伊利健康智慧谷智慧样板基地项目</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150000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3.3</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中小型乳制品企业重点提升工程</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5000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3.4</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乳业冷链物流体系建设工程</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20000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3.5</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兽药饲料生产加工企业培育工程</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8000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3.6</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草原和乳业文化休闲体验工程</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30000</w:t>
            </w:r>
          </w:p>
        </w:tc>
      </w:tr>
      <w:tr>
        <w:tblPrEx>
          <w:tblCellMar>
            <w:top w:w="0" w:type="dxa"/>
            <w:left w:w="108" w:type="dxa"/>
            <w:bottom w:w="0" w:type="dxa"/>
            <w:right w:w="108" w:type="dxa"/>
          </w:tblCellMar>
        </w:tblPrEx>
        <w:trPr>
          <w:trHeight w:val="274"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ascii="宋体" w:hAnsi="宋体"/>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四</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国家乳业科技创新建设工程</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eastAsia="等线" w:cs="Times New Roman"/>
                <w:b/>
                <w:bCs/>
                <w:color w:val="000000" w:themeColor="text1"/>
                <w:sz w:val="22"/>
                <w:szCs w:val="22"/>
                <w14:textFill>
                  <w14:solidFill>
                    <w14:schemeClr w14:val="tx1"/>
                  </w14:solidFill>
                </w14:textFill>
              </w:rPr>
              <w:t>11812</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4.1</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国家乳业科技创新中心建设项目</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8000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4.2</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全球乳业人才培训中心项目</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cs="Times New Roman"/>
                <w:color w:val="000000" w:themeColor="text1"/>
                <w:kern w:val="0"/>
                <w:sz w:val="22"/>
                <w:szCs w:val="22"/>
                <w14:textFill>
                  <w14:solidFill>
                    <w14:schemeClr w14:val="tx1"/>
                  </w14:solidFill>
                </w14:textFill>
              </w:rPr>
              <w:t>3612</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4.3</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国家技术标准基地（乳业）项目</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200</w:t>
            </w:r>
          </w:p>
        </w:tc>
      </w:tr>
      <w:tr>
        <w:tblPrEx>
          <w:tblCellMar>
            <w:top w:w="0" w:type="dxa"/>
            <w:left w:w="108" w:type="dxa"/>
            <w:bottom w:w="0" w:type="dxa"/>
            <w:right w:w="108" w:type="dxa"/>
          </w:tblCellMar>
        </w:tblPrEx>
        <w:trPr>
          <w:trHeight w:val="274"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ascii="宋体" w:hAnsi="宋体"/>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五</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支撑保障体系建设工程</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eastAsia="等线" w:cs="Times New Roman"/>
                <w:b/>
                <w:bCs/>
                <w:color w:val="000000" w:themeColor="text1"/>
                <w:sz w:val="22"/>
                <w:szCs w:val="22"/>
                <w14:textFill>
                  <w14:solidFill>
                    <w14:schemeClr w14:val="tx1"/>
                  </w14:solidFill>
                </w14:textFill>
              </w:rPr>
              <w:t>185000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5.1</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蒙牛乳业质量研发中心建设项目</w:t>
            </w:r>
          </w:p>
        </w:tc>
        <w:tc>
          <w:tcPr>
            <w:tcW w:w="2809" w:type="dxa"/>
            <w:tcBorders>
              <w:top w:val="nil"/>
              <w:left w:val="nil"/>
              <w:bottom w:val="single" w:color="auto" w:sz="8" w:space="0"/>
              <w:right w:val="single" w:color="auto" w:sz="8"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178000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5.2</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乳制品质量安全监管体系建设项目</w:t>
            </w:r>
          </w:p>
        </w:tc>
        <w:tc>
          <w:tcPr>
            <w:tcW w:w="2809" w:type="dxa"/>
            <w:tcBorders>
              <w:top w:val="nil"/>
              <w:left w:val="nil"/>
              <w:bottom w:val="single" w:color="auto" w:sz="8" w:space="0"/>
              <w:right w:val="single" w:color="auto" w:sz="8" w:space="0"/>
            </w:tcBorders>
            <w:shd w:val="clear" w:color="auto" w:fill="auto"/>
            <w:noWrap/>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5.3</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全球乳产业大数据中心项目</w:t>
            </w:r>
          </w:p>
        </w:tc>
        <w:tc>
          <w:tcPr>
            <w:tcW w:w="2809" w:type="dxa"/>
            <w:tcBorders>
              <w:top w:val="nil"/>
              <w:left w:val="nil"/>
              <w:bottom w:val="single" w:color="auto" w:sz="8" w:space="0"/>
              <w:right w:val="single" w:color="auto" w:sz="8" w:space="0"/>
            </w:tcBorders>
            <w:shd w:val="clear" w:color="auto" w:fill="auto"/>
            <w:noWrap/>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3000</w:t>
            </w:r>
          </w:p>
        </w:tc>
      </w:tr>
      <w:tr>
        <w:tblPrEx>
          <w:tblCellMar>
            <w:top w:w="0" w:type="dxa"/>
            <w:left w:w="108" w:type="dxa"/>
            <w:bottom w:w="0" w:type="dxa"/>
            <w:right w:w="108" w:type="dxa"/>
          </w:tblCellMar>
        </w:tblPrEx>
        <w:trPr>
          <w:trHeight w:val="288"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5.4</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全球乳业综合交易平台项目</w:t>
            </w:r>
          </w:p>
        </w:tc>
        <w:tc>
          <w:tcPr>
            <w:tcW w:w="2809" w:type="dxa"/>
            <w:tcBorders>
              <w:top w:val="nil"/>
              <w:left w:val="nil"/>
              <w:bottom w:val="single" w:color="auto" w:sz="8" w:space="0"/>
              <w:right w:val="single" w:color="auto" w:sz="8" w:space="0"/>
            </w:tcBorders>
            <w:shd w:val="clear" w:color="auto" w:fill="auto"/>
            <w:noWrap/>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1000</w:t>
            </w:r>
          </w:p>
        </w:tc>
      </w:tr>
      <w:tr>
        <w:tblPrEx>
          <w:tblCellMar>
            <w:top w:w="0" w:type="dxa"/>
            <w:left w:w="108" w:type="dxa"/>
            <w:bottom w:w="0" w:type="dxa"/>
            <w:right w:w="108" w:type="dxa"/>
          </w:tblCellMar>
        </w:tblPrEx>
        <w:trPr>
          <w:trHeight w:val="274" w:hRule="atLeast"/>
        </w:trPr>
        <w:tc>
          <w:tcPr>
            <w:tcW w:w="679" w:type="dxa"/>
            <w:tcBorders>
              <w:top w:val="nil"/>
              <w:left w:val="single" w:color="auto" w:sz="8" w:space="0"/>
              <w:bottom w:val="single" w:color="auto" w:sz="8" w:space="0"/>
              <w:right w:val="single" w:color="auto" w:sz="8" w:space="0"/>
            </w:tcBorders>
            <w:shd w:val="clear" w:color="auto" w:fill="auto"/>
            <w:noWrap/>
            <w:vAlign w:val="center"/>
          </w:tcPr>
          <w:p>
            <w:pPr>
              <w:widowControl/>
              <w:ind w:firstLine="0" w:firstLineChars="0"/>
              <w:jc w:val="center"/>
              <w:rPr>
                <w:rFonts w:ascii="宋体" w:hAnsi="宋体"/>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　</w:t>
            </w:r>
          </w:p>
        </w:tc>
        <w:tc>
          <w:tcPr>
            <w:tcW w:w="4939" w:type="dxa"/>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宋体" w:hAnsi="宋体"/>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合计</w:t>
            </w:r>
          </w:p>
        </w:tc>
        <w:tc>
          <w:tcPr>
            <w:tcW w:w="2809" w:type="dxa"/>
            <w:tcBorders>
              <w:top w:val="nil"/>
              <w:left w:val="nil"/>
              <w:bottom w:val="single" w:color="auto" w:sz="8" w:space="0"/>
              <w:right w:val="single" w:color="auto" w:sz="8" w:space="0"/>
            </w:tcBorders>
            <w:shd w:val="clear" w:color="auto" w:fill="auto"/>
            <w:noWrap/>
            <w:vAlign w:val="center"/>
          </w:tcPr>
          <w:p>
            <w:pPr>
              <w:widowControl/>
              <w:ind w:firstLine="0" w:firstLineChars="0"/>
              <w:rPr>
                <w:rFonts w:eastAsia="楷体_GB2312" w:cs="Times New Roman"/>
                <w:b/>
                <w:bCs/>
                <w:color w:val="000000" w:themeColor="text1"/>
                <w:kern w:val="0"/>
                <w:sz w:val="22"/>
                <w:szCs w:val="22"/>
                <w14:textFill>
                  <w14:solidFill>
                    <w14:schemeClr w14:val="tx1"/>
                  </w14:solidFill>
                </w14:textFill>
              </w:rPr>
            </w:pPr>
            <w:r>
              <w:rPr>
                <w:rFonts w:eastAsia="等线" w:cs="Times New Roman"/>
                <w:b/>
                <w:bCs/>
                <w:color w:val="000000" w:themeColor="text1"/>
                <w:sz w:val="22"/>
                <w:szCs w:val="22"/>
                <w14:textFill>
                  <w14:solidFill>
                    <w14:schemeClr w14:val="tx1"/>
                  </w14:solidFill>
                </w14:textFill>
              </w:rPr>
              <w:t>1781512</w:t>
            </w:r>
          </w:p>
        </w:tc>
      </w:tr>
    </w:tbl>
    <w:p>
      <w:pPr>
        <w:pStyle w:val="3"/>
        <w:ind w:firstLine="643"/>
        <w:rPr>
          <w:color w:val="000000" w:themeColor="text1"/>
          <w14:textFill>
            <w14:solidFill>
              <w14:schemeClr w14:val="tx1"/>
            </w14:solidFill>
          </w14:textFill>
        </w:rPr>
      </w:pPr>
      <w:bookmarkStart w:id="68" w:name="_Toc80215073"/>
      <w:r>
        <w:rPr>
          <w:rFonts w:hint="eastAsia"/>
          <w:color w:val="000000" w:themeColor="text1"/>
          <w14:textFill>
            <w14:solidFill>
              <w14:schemeClr w14:val="tx1"/>
            </w14:solidFill>
          </w14:textFill>
        </w:rPr>
        <w:t>效益分析</w:t>
      </w:r>
      <w:bookmarkEnd w:id="68"/>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经济效益</w:t>
      </w:r>
    </w:p>
    <w:p>
      <w:pPr>
        <w:ind w:firstLine="56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通过本规划实施，呼和浩特“中国乳都”建设水平明显提升，</w:t>
      </w:r>
      <w:r>
        <w:rPr>
          <w:rFonts w:hint="eastAsia"/>
          <w:color w:val="000000" w:themeColor="text1"/>
          <w14:textFill>
            <w14:solidFill>
              <w14:schemeClr w14:val="tx1"/>
            </w14:solidFill>
          </w14:textFill>
        </w:rPr>
        <w:t>奶源基地供应能力大幅增强，现代乳产业加工集群不断壮大，现代乳业科技创新能力不读增强，打造千亿级乳业企业2家，上下游产业链条不断完善，全市乳业品牌国际影响力和市场竞争力明显提升，将为推进全市经济发展作出重要贡献。</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社会效益</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通过本规划实施，全市乳产业进一步壮大，乳品质量进一步提升，对于改善居民膳食结构、增强国民体质具有积极意义。通过促进中小型特色乳制品业、民族乳制品业、文化旅游业等的发展，带动全市农牧民就业，并构建乳业全链条利益联结机制，将极大的促进农牧民增收。同时，通过全市乳业发展，将带动全国现代乳业奶源基地、产业融合、科技支撑、绿色发展等全面提升。</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生态效益</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规划实施坚持生态优先、绿色发展的理念，统筹考虑全市资源环境条件，优化产业布局，严格落实乳业全产业链条资源环境保护制度要求，强化水资源节约集约利用、耕地质量提升、畜禽粪污等废弃物资源化利用，改善奶畜养殖环境，促进种养结合循环发展，提高环境卫生质量，避免当地资源环境污染，同时，通过现代乳业绿色低碳发展，打造乳业低碳减排样板，为全区乳业绿色发展提供样板。</w:t>
      </w:r>
    </w:p>
    <w:p>
      <w:pPr>
        <w:pStyle w:val="56"/>
        <w:ind w:firstLine="560"/>
        <w:rPr>
          <w:color w:val="000000" w:themeColor="text1"/>
          <w14:textFill>
            <w14:solidFill>
              <w14:schemeClr w14:val="tx1"/>
            </w14:solidFill>
          </w14:textFill>
        </w:rPr>
      </w:pPr>
    </w:p>
    <w:p>
      <w:pPr>
        <w:widowControl/>
        <w:spacing w:before="340" w:after="330" w:line="578" w:lineRule="auto"/>
        <w:ind w:left="420"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rPr>
          <w:color w:val="000000" w:themeColor="text1"/>
          <w14:textFill>
            <w14:solidFill>
              <w14:schemeClr w14:val="tx1"/>
            </w14:solidFill>
          </w14:textFill>
        </w:rPr>
      </w:pPr>
      <w:bookmarkStart w:id="69" w:name="_Toc80215074"/>
      <w:r>
        <w:rPr>
          <w:rFonts w:hint="eastAsia"/>
          <w:color w:val="000000" w:themeColor="text1"/>
          <w14:textFill>
            <w14:solidFill>
              <w14:schemeClr w14:val="tx1"/>
            </w14:solidFill>
          </w14:textFill>
        </w:rPr>
        <w:t>环境影响分析</w:t>
      </w:r>
      <w:bookmarkEnd w:id="69"/>
    </w:p>
    <w:p>
      <w:pPr>
        <w:ind w:firstLine="560"/>
        <w:rPr>
          <w:color w:val="000000" w:themeColor="text1"/>
          <w14:textFill>
            <w14:solidFill>
              <w14:schemeClr w14:val="tx1"/>
            </w14:solidFill>
          </w14:textFill>
        </w:rPr>
      </w:pPr>
      <w:bookmarkStart w:id="70" w:name="_Toc532802568"/>
      <w:bookmarkStart w:id="71" w:name="_Toc534637291"/>
      <w:r>
        <w:rPr>
          <w:rFonts w:hint="eastAsia"/>
          <w:color w:val="000000" w:themeColor="text1"/>
          <w14:textFill>
            <w14:solidFill>
              <w14:schemeClr w14:val="tx1"/>
            </w14:solidFill>
          </w14:textFill>
        </w:rPr>
        <w:t>规划实施后，随着奶源基地规模扩大、乳业加工流通业发展，奶牛养殖场、饲草种植基地、加工流通企业等主体产生的污染物将会显著增加，将带来农业面源污染和加工企业污染治理压力。规划坚持绿色低碳发展理念，对环境影响因素进行了系统分析，并有针对的提出了农业面源污染防控措施，对企业主体固体废弃物、废气、废水的处理提出了要求。</w:t>
      </w:r>
    </w:p>
    <w:p>
      <w:pPr>
        <w:pStyle w:val="3"/>
        <w:ind w:firstLine="643"/>
        <w:rPr>
          <w:color w:val="000000" w:themeColor="text1"/>
          <w14:textFill>
            <w14:solidFill>
              <w14:schemeClr w14:val="tx1"/>
            </w14:solidFill>
          </w14:textFill>
        </w:rPr>
      </w:pPr>
      <w:bookmarkStart w:id="72" w:name="_Toc80215075"/>
      <w:r>
        <w:rPr>
          <w:rFonts w:hint="eastAsia"/>
          <w:color w:val="000000" w:themeColor="text1"/>
          <w14:textFill>
            <w14:solidFill>
              <w14:schemeClr w14:val="tx1"/>
            </w14:solidFill>
          </w14:textFill>
        </w:rPr>
        <w:t>规划环境影响因素分析</w:t>
      </w:r>
      <w:bookmarkEnd w:id="70"/>
      <w:bookmarkEnd w:id="71"/>
      <w:bookmarkEnd w:id="72"/>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饲草基地的污染因素分析</w:t>
      </w:r>
    </w:p>
    <w:p>
      <w:pPr>
        <w:ind w:firstLine="562"/>
        <w:rPr>
          <w:color w:val="000000" w:themeColor="text1"/>
          <w14:textFill>
            <w14:solidFill>
              <w14:schemeClr w14:val="tx1"/>
            </w14:solidFill>
          </w14:textFill>
        </w:rPr>
      </w:pPr>
      <w:r>
        <w:rPr>
          <w:rFonts w:hint="eastAsia"/>
          <w:b/>
          <w:color w:val="000000" w:themeColor="text1"/>
          <w14:textFill>
            <w14:solidFill>
              <w14:schemeClr w14:val="tx1"/>
            </w14:solidFill>
          </w14:textFill>
        </w:rPr>
        <w:t>饲草种植过程主要会带来面源污染和土壤污染。一是肥源性污染。</w:t>
      </w:r>
      <w:r>
        <w:rPr>
          <w:rFonts w:hint="eastAsia"/>
          <w:color w:val="000000" w:themeColor="text1"/>
          <w14:textFill>
            <w14:solidFill>
              <w14:schemeClr w14:val="tx1"/>
            </w14:solidFill>
          </w14:textFill>
        </w:rPr>
        <w:t>主要包括饲草和青贮玉米种植过程中化肥和有机肥施用通过地表径流或淋溶造成的水体污染。肥料过量施用或施用不当时，肥料利用效率不高，氮磷钾等营养元素会随雨水流失到沟渠中，引起水体富营养化。若使用某些劣质肥料，还会造成土壤重金属污染。</w:t>
      </w:r>
      <w:r>
        <w:rPr>
          <w:rFonts w:hint="eastAsia"/>
          <w:b/>
          <w:bCs/>
          <w:color w:val="000000" w:themeColor="text1"/>
          <w14:textFill>
            <w14:solidFill>
              <w14:schemeClr w14:val="tx1"/>
            </w14:solidFill>
          </w14:textFill>
        </w:rPr>
        <w:t>二是</w:t>
      </w:r>
      <w:r>
        <w:rPr>
          <w:rFonts w:hint="eastAsia"/>
          <w:b/>
          <w:color w:val="000000" w:themeColor="text1"/>
          <w14:textFill>
            <w14:solidFill>
              <w14:schemeClr w14:val="tx1"/>
            </w14:solidFill>
          </w14:textFill>
        </w:rPr>
        <w:t>药源性污染。</w:t>
      </w:r>
      <w:r>
        <w:rPr>
          <w:rFonts w:hint="eastAsia"/>
          <w:bCs/>
          <w:color w:val="000000" w:themeColor="text1"/>
          <w14:textFill>
            <w14:solidFill>
              <w14:schemeClr w14:val="tx1"/>
            </w14:solidFill>
          </w14:textFill>
        </w:rPr>
        <w:t>饲草</w:t>
      </w:r>
      <w:r>
        <w:rPr>
          <w:rFonts w:hint="eastAsia"/>
          <w:color w:val="000000" w:themeColor="text1"/>
          <w14:textFill>
            <w14:solidFill>
              <w14:schemeClr w14:val="tx1"/>
            </w14:solidFill>
          </w14:textFill>
        </w:rPr>
        <w:t>料作物种植过程中，通过使用大量化学农药防治病虫害。药剂选用不适宜、随意加大用药量、施药方法不科学等会导致农药残留较高，直接危害人体健康，大量农药流失到土壤、水体、空气中，造成土壤、水体污染，间接影响人体健康。农药包装废弃物的不当弃置也会造成水体和土壤污染。</w:t>
      </w:r>
      <w:r>
        <w:rPr>
          <w:rFonts w:hint="eastAsia"/>
          <w:b/>
          <w:bCs/>
          <w:color w:val="000000" w:themeColor="text1"/>
          <w14:textFill>
            <w14:solidFill>
              <w14:schemeClr w14:val="tx1"/>
            </w14:solidFill>
          </w14:textFill>
        </w:rPr>
        <w:t>三是</w:t>
      </w:r>
      <w:r>
        <w:rPr>
          <w:rFonts w:hint="eastAsia"/>
          <w:b/>
          <w:color w:val="000000" w:themeColor="text1"/>
          <w14:textFill>
            <w14:solidFill>
              <w14:schemeClr w14:val="tx1"/>
            </w14:solidFill>
          </w14:textFill>
        </w:rPr>
        <w:t>残膜污染。</w:t>
      </w:r>
      <w:r>
        <w:rPr>
          <w:rFonts w:hint="eastAsia"/>
          <w:color w:val="000000" w:themeColor="text1"/>
          <w14:textFill>
            <w14:solidFill>
              <w14:schemeClr w14:val="tx1"/>
            </w14:solidFill>
          </w14:textFill>
        </w:rPr>
        <w:t>青贮玉米等种植时采用农膜时，农膜回收不到位，会导致农膜残留，不仅会破坏土壤结构，造成地力下降，还会因农膜中的有害添加剂抑制作物生长，造成产量降低、品质下降。</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奶牛养殖污染因素分析</w:t>
      </w:r>
    </w:p>
    <w:p>
      <w:pPr>
        <w:ind w:firstLine="560"/>
        <w:rPr>
          <w:color w:val="000000" w:themeColor="text1"/>
          <w14:textFill>
            <w14:solidFill>
              <w14:schemeClr w14:val="tx1"/>
            </w14:solidFill>
          </w14:textFill>
        </w:rPr>
      </w:pPr>
      <w:r>
        <w:rPr>
          <w:rFonts w:hint="eastAsia"/>
          <w:bCs/>
          <w:color w:val="000000" w:themeColor="text1"/>
          <w14:textFill>
            <w14:solidFill>
              <w14:schemeClr w14:val="tx1"/>
            </w14:solidFill>
          </w14:textFill>
        </w:rPr>
        <w:t>奶牛</w:t>
      </w:r>
      <w:r>
        <w:rPr>
          <w:rFonts w:hint="eastAsia"/>
          <w:color w:val="000000" w:themeColor="text1"/>
          <w14:textFill>
            <w14:solidFill>
              <w14:schemeClr w14:val="tx1"/>
            </w14:solidFill>
          </w14:textFill>
        </w:rPr>
        <w:t>养殖会产生大量的粪便和污水，不当处理会导致水体、空气等污染，主要体现为：畜禽养殖场未经处理的污水中含有大量的污染物质，其污染负荷很高。养殖场粪污直接排放，污水中化学需氧量超标</w:t>
      </w:r>
      <w:r>
        <w:rPr>
          <w:color w:val="000000" w:themeColor="text1"/>
          <w14:textFill>
            <w14:solidFill>
              <w14:schemeClr w14:val="tx1"/>
            </w14:solidFill>
          </w14:textFill>
        </w:rPr>
        <w:t>50-60</w:t>
      </w:r>
      <w:r>
        <w:rPr>
          <w:rFonts w:hint="eastAsia"/>
          <w:color w:val="000000" w:themeColor="text1"/>
          <w14:textFill>
            <w14:solidFill>
              <w14:schemeClr w14:val="tx1"/>
            </w14:solidFill>
          </w14:textFill>
        </w:rPr>
        <w:t>倍、生化需氧量超标</w:t>
      </w:r>
      <w:r>
        <w:rPr>
          <w:color w:val="000000" w:themeColor="text1"/>
          <w14:textFill>
            <w14:solidFill>
              <w14:schemeClr w14:val="tx1"/>
            </w14:solidFill>
          </w14:textFill>
        </w:rPr>
        <w:t>70-80</w:t>
      </w:r>
      <w:r>
        <w:rPr>
          <w:rFonts w:hint="eastAsia"/>
          <w:color w:val="000000" w:themeColor="text1"/>
          <w14:textFill>
            <w14:solidFill>
              <w14:schemeClr w14:val="tx1"/>
            </w14:solidFill>
          </w14:textFill>
        </w:rPr>
        <w:t>倍、固体悬浮物超标</w:t>
      </w:r>
      <w:r>
        <w:rPr>
          <w:color w:val="000000" w:themeColor="text1"/>
          <w14:textFill>
            <w14:solidFill>
              <w14:schemeClr w14:val="tx1"/>
            </w14:solidFill>
          </w14:textFill>
        </w:rPr>
        <w:t>10-20</w:t>
      </w:r>
      <w:r>
        <w:rPr>
          <w:rFonts w:hint="eastAsia"/>
          <w:color w:val="000000" w:themeColor="text1"/>
          <w14:textFill>
            <w14:solidFill>
              <w14:schemeClr w14:val="tx1"/>
            </w14:solidFill>
          </w14:textFill>
        </w:rPr>
        <w:t>倍，导致水体严重富营养化，会使对有机物污染敏感的水生生物逐渐死亡，严重的将导致鱼塘及河流丧失使用功能，粪污中还有大量的病原微生物、寄生虫卵以及孳生的蚊蝇，带来人、畜传染病的隐患。畜禽养殖过程及粪污处理利用过程中会产生大量的恶臭气体，其中含有大量的氨、硫化物、甲烷等有毒有害成分，污染养殖场及周围空气，由于恶臭污染问题，导致养殖场与周围群众关系十分紧张，有的甚至引发社会矛盾。病死动物不当处置也会造成土壤、水体污染，并造成动物疫病传播等。</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加工企业污染因素分析</w:t>
      </w:r>
    </w:p>
    <w:p>
      <w:pPr>
        <w:ind w:firstLine="560"/>
        <w:rPr>
          <w:color w:val="000000" w:themeColor="text1"/>
          <w14:textFill>
            <w14:solidFill>
              <w14:schemeClr w14:val="tx1"/>
            </w14:solidFill>
          </w14:textFill>
        </w:rPr>
      </w:pPr>
      <w:r>
        <w:rPr>
          <w:rFonts w:hint="eastAsia"/>
          <w:bCs/>
          <w:color w:val="000000" w:themeColor="text1"/>
          <w14:textFill>
            <w14:solidFill>
              <w14:schemeClr w14:val="tx1"/>
            </w14:solidFill>
          </w14:textFill>
        </w:rPr>
        <w:t>乳品加工过程产生的污染主要包括以下三个方面。</w:t>
      </w:r>
      <w:r>
        <w:rPr>
          <w:rFonts w:hint="eastAsia"/>
          <w:b/>
          <w:bCs/>
          <w:color w:val="000000" w:themeColor="text1"/>
          <w14:textFill>
            <w14:solidFill>
              <w14:schemeClr w14:val="tx1"/>
            </w14:solidFill>
          </w14:textFill>
        </w:rPr>
        <w:t>废水。</w:t>
      </w:r>
      <w:r>
        <w:rPr>
          <w:rFonts w:hint="eastAsia"/>
          <w:bCs/>
          <w:color w:val="000000" w:themeColor="text1"/>
          <w14:textFill>
            <w14:solidFill>
              <w14:schemeClr w14:val="tx1"/>
            </w14:solidFill>
          </w14:textFill>
        </w:rPr>
        <w:t>主要包括乳业加工生产工艺过程中各个容器罐及管道清洗水，主要污染物为COD、BOD、pH、NH</w:t>
      </w:r>
      <w:r>
        <w:rPr>
          <w:bCs/>
          <w:color w:val="000000" w:themeColor="text1"/>
          <w:vertAlign w:val="subscript"/>
          <w14:textFill>
            <w14:solidFill>
              <w14:schemeClr w14:val="tx1"/>
            </w14:solidFill>
          </w14:textFill>
        </w:rPr>
        <w:t>3</w:t>
      </w:r>
      <w:r>
        <w:rPr>
          <w:rFonts w:hint="eastAsia"/>
          <w:bCs/>
          <w:color w:val="000000" w:themeColor="text1"/>
          <w14:textFill>
            <w14:solidFill>
              <w14:schemeClr w14:val="tx1"/>
            </w14:solidFill>
          </w14:textFill>
        </w:rPr>
        <w:t>-N、动植物油等。加工企业还会产生大量的生活污水。</w:t>
      </w:r>
      <w:r>
        <w:rPr>
          <w:rFonts w:hint="eastAsia"/>
          <w:b/>
          <w:color w:val="000000" w:themeColor="text1"/>
          <w14:textFill>
            <w14:solidFill>
              <w14:schemeClr w14:val="tx1"/>
            </w14:solidFill>
          </w14:textFill>
        </w:rPr>
        <w:t>废气。</w:t>
      </w:r>
      <w:r>
        <w:rPr>
          <w:rFonts w:hint="eastAsia"/>
          <w:bCs/>
          <w:color w:val="000000" w:themeColor="text1"/>
          <w14:textFill>
            <w14:solidFill>
              <w14:schemeClr w14:val="tx1"/>
            </w14:solidFill>
          </w14:textFill>
        </w:rPr>
        <w:t>废气主要来源于燃气锅炉产生的烟气和食堂油烟等。燃烧煤炭和天然气所产生的烟气中含有一定的大气污染物。</w:t>
      </w:r>
      <w:r>
        <w:rPr>
          <w:rFonts w:hint="eastAsia"/>
          <w:b/>
          <w:color w:val="000000" w:themeColor="text1"/>
          <w14:textFill>
            <w14:solidFill>
              <w14:schemeClr w14:val="tx1"/>
            </w14:solidFill>
          </w14:textFill>
        </w:rPr>
        <w:t>固废。</w:t>
      </w:r>
      <w:r>
        <w:rPr>
          <w:rFonts w:hint="eastAsia"/>
          <w:bCs/>
          <w:color w:val="000000" w:themeColor="text1"/>
          <w14:textFill>
            <w14:solidFill>
              <w14:schemeClr w14:val="tx1"/>
            </w14:solidFill>
          </w14:textFill>
        </w:rPr>
        <w:t xml:space="preserve">项目建设过程中会产生一定的建筑垃圾，乳品加工企业产生的固废主要有奶渣、生产包装废弃材料、机修废料、生活垃圾等。 </w:t>
      </w:r>
    </w:p>
    <w:p>
      <w:pPr>
        <w:pStyle w:val="3"/>
        <w:ind w:firstLine="643"/>
        <w:rPr>
          <w:color w:val="000000" w:themeColor="text1"/>
          <w14:textFill>
            <w14:solidFill>
              <w14:schemeClr w14:val="tx1"/>
            </w14:solidFill>
          </w14:textFill>
        </w:rPr>
      </w:pPr>
      <w:bookmarkStart w:id="73" w:name="_Toc532802569"/>
      <w:bookmarkStart w:id="74" w:name="_Toc80215076"/>
      <w:bookmarkStart w:id="75" w:name="_Toc534637292"/>
      <w:r>
        <w:rPr>
          <w:rFonts w:hint="eastAsia"/>
          <w:color w:val="000000" w:themeColor="text1"/>
          <w14:textFill>
            <w14:solidFill>
              <w14:schemeClr w14:val="tx1"/>
            </w14:solidFill>
          </w14:textFill>
        </w:rPr>
        <w:t>环境污染预防对策措施</w:t>
      </w:r>
      <w:bookmarkEnd w:id="73"/>
      <w:bookmarkEnd w:id="74"/>
      <w:bookmarkEnd w:id="75"/>
    </w:p>
    <w:p>
      <w:pPr>
        <w:ind w:firstLine="56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本规划编制实施的主要任务之一是推行绿色生产方式，推进资源利用可持续，显著提升农业资源高效循环利用水平，实现奶业全链条污染防控。</w:t>
      </w:r>
    </w:p>
    <w:p>
      <w:pPr>
        <w:ind w:firstLine="562"/>
        <w:rPr>
          <w:rFonts w:cs="Times New Roman"/>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一是加快推进高效节水和污水处理。</w:t>
      </w:r>
      <w:r>
        <w:rPr>
          <w:rFonts w:hint="eastAsia" w:cs="Times New Roman"/>
          <w:color w:val="000000" w:themeColor="text1"/>
          <w14:textFill>
            <w14:solidFill>
              <w14:schemeClr w14:val="tx1"/>
            </w14:solidFill>
          </w14:textFill>
        </w:rPr>
        <w:t>加强计划用水管理，合理调整水资源费征收标准并严格执行。加强节水工程建设，科学利用雨洪水，高效利用黄河水，开源节流，提高饲草种植和奶牛养殖环节用水效率。合理设计生产工艺，强化加工环节节水措施。完善畜禽养殖粪污资源化利用，建设污水处理厂，实现加工环节污水和生活污水处理。</w:t>
      </w:r>
    </w:p>
    <w:p>
      <w:pPr>
        <w:ind w:firstLine="562"/>
        <w:rPr>
          <w:color w:val="000000" w:themeColor="text1"/>
          <w14:textFill>
            <w14:solidFill>
              <w14:schemeClr w14:val="tx1"/>
            </w14:solidFill>
          </w14:textFill>
        </w:rPr>
      </w:pPr>
      <w:r>
        <w:rPr>
          <w:rFonts w:hint="eastAsia"/>
          <w:b/>
          <w:color w:val="000000" w:themeColor="text1"/>
          <w14:textFill>
            <w14:solidFill>
              <w14:schemeClr w14:val="tx1"/>
            </w14:solidFill>
          </w14:textFill>
        </w:rPr>
        <w:t>二是加强耕地保护与质量提升。</w:t>
      </w:r>
      <w:r>
        <w:rPr>
          <w:rFonts w:hint="eastAsia"/>
          <w:color w:val="000000" w:themeColor="text1"/>
          <w14:textFill>
            <w14:solidFill>
              <w14:schemeClr w14:val="tx1"/>
            </w14:solidFill>
          </w14:textFill>
        </w:rPr>
        <w:t>通过加快高标准农田建设、中低产农田改造、盐碱地改良等工作，建设优质饲草基地，通过测土配方施肥、秸秆腐熟还田、增施有机肥、土壤改良等提升措施土壤肥力，实现耕地地力提升。同时，深入推进化肥农药零增长行动，提高化肥农药利用效率，可以减少因为化肥农药使用造成土壤等污染。</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rFonts w:hint="eastAsia"/>
          <w:b/>
          <w:color w:val="000000" w:themeColor="text1"/>
          <w14:textFill>
            <w14:solidFill>
              <w14:schemeClr w14:val="tx1"/>
            </w14:solidFill>
          </w14:textFill>
        </w:rPr>
        <w:t>是强化农业废弃物资源化利用。</w:t>
      </w:r>
      <w:r>
        <w:rPr>
          <w:rFonts w:hint="eastAsia"/>
          <w:color w:val="000000" w:themeColor="text1"/>
          <w14:textFill>
            <w14:solidFill>
              <w14:schemeClr w14:val="tx1"/>
            </w14:solidFill>
          </w14:textFill>
        </w:rPr>
        <w:t>聚焦畜禽粪污、病死畜禽、农作物秸秆、废旧农膜等废弃物，通过建设废弃物处理和利用设施，推动农业废弃物处理及资源化利用，避免不当处置造成的水体、土壤和大气污染。</w:t>
      </w:r>
    </w:p>
    <w:p>
      <w:pPr>
        <w:ind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四是促进现代乳业低碳减排。</w:t>
      </w:r>
      <w:r>
        <w:rPr>
          <w:rFonts w:hint="eastAsia"/>
          <w:color w:val="000000" w:themeColor="text1"/>
          <w14:textFill>
            <w14:solidFill>
              <w14:schemeClr w14:val="tx1"/>
            </w14:solidFill>
          </w14:textFill>
        </w:rPr>
        <w:t>以低碳循环为引领，围绕奶业生产全链条，推行低碳减排模式，减少二氧化碳等温室气体排放和饲草种植碳汇功能，建设一批低碳规模化牧场和加工企业，引领带动区域乳业产业链条低碳发展。</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因此，本规划实施后，将有效改善全市资源环境利用水平，提升农牧业绿色发展和农业面源污染治理水平。</w:t>
      </w:r>
    </w:p>
    <w:p>
      <w:pPr>
        <w:ind w:firstLine="560"/>
        <w:rPr>
          <w:color w:val="000000" w:themeColor="text1"/>
          <w14:textFill>
            <w14:solidFill>
              <w14:schemeClr w14:val="tx1"/>
            </w14:solidFill>
          </w14:textFill>
        </w:rPr>
      </w:pPr>
    </w:p>
    <w:p>
      <w:pPr>
        <w:widowControl/>
        <w:spacing w:before="340" w:after="330" w:line="578" w:lineRule="auto"/>
        <w:ind w:left="420" w:firstLine="0" w:firstLineChars="0"/>
        <w:jc w:val="center"/>
        <w:rPr>
          <w:rFonts w:cs="Times New Roman"/>
          <w:b/>
          <w:bCs/>
          <w:color w:val="000000" w:themeColor="text1"/>
          <w:kern w:val="44"/>
          <w:sz w:val="44"/>
          <w:szCs w:val="44"/>
          <w14:textFill>
            <w14:solidFill>
              <w14:schemeClr w14:val="tx1"/>
            </w14:solidFill>
          </w14:textFill>
        </w:rPr>
      </w:pPr>
      <w:r>
        <w:rPr>
          <w:color w:val="000000" w:themeColor="text1"/>
          <w14:textFill>
            <w14:solidFill>
              <w14:schemeClr w14:val="tx1"/>
            </w14:solidFill>
          </w14:textFill>
        </w:rPr>
        <w:br w:type="page"/>
      </w:r>
    </w:p>
    <w:p>
      <w:pPr>
        <w:pStyle w:val="2"/>
        <w:rPr>
          <w:color w:val="000000" w:themeColor="text1"/>
          <w14:textFill>
            <w14:solidFill>
              <w14:schemeClr w14:val="tx1"/>
            </w14:solidFill>
          </w14:textFill>
        </w:rPr>
      </w:pPr>
      <w:bookmarkStart w:id="76" w:name="_Toc80215077"/>
      <w:r>
        <w:rPr>
          <w:color w:val="000000" w:themeColor="text1"/>
          <w14:textFill>
            <w14:solidFill>
              <w14:schemeClr w14:val="tx1"/>
            </w14:solidFill>
          </w14:textFill>
        </w:rPr>
        <w:t>保障措施</w:t>
      </w:r>
      <w:bookmarkEnd w:id="76"/>
    </w:p>
    <w:p>
      <w:pPr>
        <w:pStyle w:val="3"/>
        <w:ind w:firstLine="643"/>
        <w:rPr>
          <w:color w:val="000000" w:themeColor="text1"/>
          <w14:textFill>
            <w14:solidFill>
              <w14:schemeClr w14:val="tx1"/>
            </w14:solidFill>
          </w14:textFill>
        </w:rPr>
      </w:pPr>
      <w:bookmarkStart w:id="77" w:name="_Toc46757012"/>
      <w:bookmarkStart w:id="78" w:name="_Toc80215078"/>
      <w:bookmarkStart w:id="79" w:name="_Toc46757013"/>
      <w:r>
        <w:rPr>
          <w:color w:val="000000" w:themeColor="text1"/>
          <w14:textFill>
            <w14:solidFill>
              <w14:schemeClr w14:val="tx1"/>
            </w14:solidFill>
          </w14:textFill>
        </w:rPr>
        <w:t>加强组织领导</w:t>
      </w:r>
      <w:bookmarkEnd w:id="77"/>
      <w:bookmarkEnd w:id="78"/>
    </w:p>
    <w:p>
      <w:pPr>
        <w:ind w:firstLine="560"/>
        <w:rPr>
          <w:color w:val="000000" w:themeColor="text1"/>
          <w14:textFill>
            <w14:solidFill>
              <w14:schemeClr w14:val="tx1"/>
            </w14:solidFill>
          </w14:textFill>
        </w:rPr>
      </w:pPr>
      <w:r>
        <w:rPr>
          <w:rFonts w:cs="Times New Roman"/>
          <w:color w:val="000000" w:themeColor="text1"/>
          <w14:textFill>
            <w14:solidFill>
              <w14:schemeClr w14:val="tx1"/>
            </w14:solidFill>
          </w14:textFill>
        </w:rPr>
        <w:t>充分认识</w:t>
      </w:r>
      <w:r>
        <w:rPr>
          <w:rFonts w:hint="eastAsia" w:cs="Times New Roman"/>
          <w:color w:val="000000" w:themeColor="text1"/>
          <w14:textFill>
            <w14:solidFill>
              <w14:schemeClr w14:val="tx1"/>
            </w14:solidFill>
          </w14:textFill>
        </w:rPr>
        <w:t>打造“中国</w:t>
      </w:r>
      <w:r>
        <w:rPr>
          <w:rFonts w:cs="Times New Roman"/>
          <w:color w:val="000000" w:themeColor="text1"/>
          <w14:textFill>
            <w14:solidFill>
              <w14:schemeClr w14:val="tx1"/>
            </w14:solidFill>
          </w14:textFill>
        </w:rPr>
        <w:t>乳都</w:t>
      </w:r>
      <w:r>
        <w:rPr>
          <w:rFonts w:hint="eastAsia" w:cs="Times New Roman"/>
          <w:color w:val="000000" w:themeColor="text1"/>
          <w14:textFill>
            <w14:solidFill>
              <w14:schemeClr w14:val="tx1"/>
            </w14:solidFill>
          </w14:textFill>
        </w:rPr>
        <w:t>”升级版</w:t>
      </w:r>
      <w:r>
        <w:rPr>
          <w:rFonts w:cs="Times New Roman"/>
          <w:color w:val="000000" w:themeColor="text1"/>
          <w14:textFill>
            <w14:solidFill>
              <w14:schemeClr w14:val="tx1"/>
            </w14:solidFill>
          </w14:textFill>
        </w:rPr>
        <w:t>在推动</w:t>
      </w:r>
      <w:r>
        <w:rPr>
          <w:rFonts w:hint="eastAsia" w:cs="Times New Roman"/>
          <w:color w:val="000000" w:themeColor="text1"/>
          <w14:textFill>
            <w14:solidFill>
              <w14:schemeClr w14:val="tx1"/>
            </w14:solidFill>
          </w14:textFill>
        </w:rPr>
        <w:t>畜牧业</w:t>
      </w:r>
      <w:r>
        <w:rPr>
          <w:rFonts w:cs="Times New Roman"/>
          <w:color w:val="000000" w:themeColor="text1"/>
          <w14:textFill>
            <w14:solidFill>
              <w14:schemeClr w14:val="tx1"/>
            </w14:solidFill>
          </w14:textFill>
        </w:rPr>
        <w:t>发展</w:t>
      </w:r>
      <w:r>
        <w:rPr>
          <w:rFonts w:cs="Times New Roman"/>
          <w:color w:val="000000" w:themeColor="text1"/>
          <w:szCs w:val="30"/>
          <w14:textFill>
            <w14:solidFill>
              <w14:schemeClr w14:val="tx1"/>
            </w14:solidFill>
          </w14:textFill>
        </w:rPr>
        <w:t>、</w:t>
      </w:r>
      <w:r>
        <w:rPr>
          <w:rFonts w:cs="Times New Roman"/>
          <w:color w:val="000000" w:themeColor="text1"/>
          <w14:textFill>
            <w14:solidFill>
              <w14:schemeClr w14:val="tx1"/>
            </w14:solidFill>
          </w14:textFill>
        </w:rPr>
        <w:t>促进农民增收和改善民生的重要作用，将</w:t>
      </w:r>
      <w:r>
        <w:rPr>
          <w:rFonts w:hint="eastAsia" w:cs="Times New Roman"/>
          <w:color w:val="000000" w:themeColor="text1"/>
          <w14:textFill>
            <w14:solidFill>
              <w14:schemeClr w14:val="tx1"/>
            </w14:solidFill>
          </w14:textFill>
        </w:rPr>
        <w:t>创建中国乳都</w:t>
      </w:r>
      <w:r>
        <w:rPr>
          <w:rFonts w:cs="Times New Roman"/>
          <w:color w:val="000000" w:themeColor="text1"/>
          <w14:textFill>
            <w14:solidFill>
              <w14:schemeClr w14:val="tx1"/>
            </w14:solidFill>
          </w14:textFill>
        </w:rPr>
        <w:t>纳入年度国民经济和社会发展计划，</w:t>
      </w:r>
      <w:r>
        <w:rPr>
          <w:rFonts w:hint="eastAsia"/>
          <w:color w:val="000000" w:themeColor="text1"/>
          <w14:textFill>
            <w14:solidFill>
              <w14:schemeClr w14:val="tx1"/>
            </w14:solidFill>
          </w14:textFill>
        </w:rPr>
        <w:t>作为呼和浩特市农业农村发展的头等大事来抓。各部门各司其职、密切配合，切实抓紧抓好规划落实。</w:t>
      </w:r>
      <w:r>
        <w:rPr>
          <w:rFonts w:cs="Times New Roman"/>
          <w:color w:val="000000" w:themeColor="text1"/>
          <w14:textFill>
            <w14:solidFill>
              <w14:schemeClr w14:val="tx1"/>
            </w14:solidFill>
          </w14:textFill>
        </w:rPr>
        <w:t>强化</w:t>
      </w:r>
      <w:r>
        <w:rPr>
          <w:rFonts w:hint="eastAsia" w:cs="Times New Roman"/>
          <w:color w:val="000000" w:themeColor="text1"/>
          <w14:textFill>
            <w14:solidFill>
              <w14:schemeClr w14:val="tx1"/>
            </w14:solidFill>
          </w14:textFill>
        </w:rPr>
        <w:t>旗县区</w:t>
      </w:r>
      <w:r>
        <w:rPr>
          <w:rFonts w:cs="Times New Roman"/>
          <w:color w:val="000000" w:themeColor="text1"/>
          <w14:textFill>
            <w14:solidFill>
              <w14:schemeClr w14:val="tx1"/>
            </w14:solidFill>
          </w14:textFill>
        </w:rPr>
        <w:t>落实责任，做好项目落地、资金使用、推进实施、运行维护等工作，坚持把</w:t>
      </w:r>
      <w:r>
        <w:rPr>
          <w:rFonts w:hint="eastAsia" w:cs="Times New Roman"/>
          <w:color w:val="000000" w:themeColor="text1"/>
          <w14:textFill>
            <w14:solidFill>
              <w14:schemeClr w14:val="tx1"/>
            </w14:solidFill>
          </w14:textFill>
        </w:rPr>
        <w:t>现代乳业</w:t>
      </w:r>
      <w:r>
        <w:rPr>
          <w:rFonts w:cs="Times New Roman"/>
          <w:color w:val="000000" w:themeColor="text1"/>
          <w14:textFill>
            <w14:solidFill>
              <w14:schemeClr w14:val="tx1"/>
            </w14:solidFill>
          </w14:textFill>
        </w:rPr>
        <w:t>发展纳入地方目标任务绩效考核，牢固树立全局观念，强化发展意识。各级地方政府部门要围绕规划目标任务，明确职责分工，强化协调配合，完善工作机制，研究落实配套措施，细化工作方案，统筹协调，稳步推进，确保规划落到实处。</w:t>
      </w:r>
    </w:p>
    <w:p>
      <w:pPr>
        <w:pStyle w:val="3"/>
        <w:ind w:firstLine="643"/>
        <w:rPr>
          <w:color w:val="000000" w:themeColor="text1"/>
          <w14:textFill>
            <w14:solidFill>
              <w14:schemeClr w14:val="tx1"/>
            </w14:solidFill>
          </w14:textFill>
        </w:rPr>
      </w:pPr>
      <w:bookmarkStart w:id="80" w:name="_Toc80215079"/>
      <w:r>
        <w:rPr>
          <w:color w:val="000000" w:themeColor="text1"/>
          <w14:textFill>
            <w14:solidFill>
              <w14:schemeClr w14:val="tx1"/>
            </w14:solidFill>
          </w14:textFill>
        </w:rPr>
        <w:t>完善政策扶持</w:t>
      </w:r>
      <w:bookmarkEnd w:id="79"/>
      <w:bookmarkEnd w:id="80"/>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加大财政扶持力度，加大奶业发展专项资金支持力度，重点支持良种奶牛引进、性控冻精补贴、种公牛培育、特色乳制品加工、奶牛生产性能测定及高产苜蓿种植等。认真落实乳业的扶持政策，以政府财政支农政策为导向，逐步建立稳定的乳业投入增长长效机制。积极利用财政资金和地方专项债做好乳业产业园</w:t>
      </w:r>
      <w:r>
        <w:rPr>
          <w:color w:val="000000" w:themeColor="text1"/>
          <w14:textFill>
            <w14:solidFill>
              <w14:schemeClr w14:val="tx1"/>
            </w14:solidFill>
          </w14:textFill>
        </w:rPr>
        <w:t>建设</w:t>
      </w:r>
      <w:r>
        <w:rPr>
          <w:rFonts w:hint="eastAsia"/>
          <w:color w:val="000000" w:themeColor="text1"/>
          <w14:textFill>
            <w14:solidFill>
              <w14:schemeClr w14:val="tx1"/>
            </w14:solidFill>
          </w14:textFill>
        </w:rPr>
        <w:t>、良种繁育、基础母畜扩群、动物防疫及标准化规模养殖等重点工作，补贴对象向主产区、新型经营主体倾斜。大力吸引和引导民间资本投入现代乳业发展，拓宽融资渠道。</w:t>
      </w:r>
    </w:p>
    <w:p>
      <w:pPr>
        <w:pStyle w:val="3"/>
        <w:ind w:firstLine="643"/>
        <w:rPr>
          <w:color w:val="000000" w:themeColor="text1"/>
          <w14:textFill>
            <w14:solidFill>
              <w14:schemeClr w14:val="tx1"/>
            </w14:solidFill>
          </w14:textFill>
        </w:rPr>
      </w:pPr>
      <w:bookmarkStart w:id="81" w:name="_Toc46757014"/>
      <w:bookmarkStart w:id="82" w:name="_Toc80215080"/>
      <w:r>
        <w:rPr>
          <w:color w:val="000000" w:themeColor="text1"/>
          <w14:textFill>
            <w14:solidFill>
              <w14:schemeClr w14:val="tx1"/>
            </w14:solidFill>
          </w14:textFill>
        </w:rPr>
        <w:t>加强依法治理</w:t>
      </w:r>
      <w:bookmarkEnd w:id="81"/>
      <w:bookmarkEnd w:id="82"/>
    </w:p>
    <w:p>
      <w:pPr>
        <w:ind w:firstLine="560"/>
        <w:rPr>
          <w:color w:val="000000" w:themeColor="text1"/>
          <w14:textFill>
            <w14:solidFill>
              <w14:schemeClr w14:val="tx1"/>
            </w14:solidFill>
          </w14:textFill>
        </w:rPr>
      </w:pPr>
      <w:r>
        <w:rPr>
          <w:color w:val="000000" w:themeColor="text1"/>
          <w14:textFill>
            <w14:solidFill>
              <w14:schemeClr w14:val="tx1"/>
            </w14:solidFill>
          </w14:textFill>
        </w:rPr>
        <w:t>全面贯彻执行国家、地方在农业及生态环境保护方面的法律法规，加快推进农业综合执法体系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特别是乳产品安全</w:t>
      </w:r>
      <w:r>
        <w:rPr>
          <w:rFonts w:hint="eastAsia"/>
          <w:color w:val="000000" w:themeColor="text1"/>
          <w14:textFill>
            <w14:solidFill>
              <w14:schemeClr w14:val="tx1"/>
            </w14:solidFill>
          </w14:textFill>
        </w:rPr>
        <w:t>体系</w:t>
      </w:r>
      <w:r>
        <w:rPr>
          <w:color w:val="000000" w:themeColor="text1"/>
          <w14:textFill>
            <w14:solidFill>
              <w14:schemeClr w14:val="tx1"/>
            </w14:solidFill>
          </w14:textFill>
        </w:rPr>
        <w:t>建设，继续深化</w:t>
      </w:r>
      <w:r>
        <w:rPr>
          <w:rFonts w:hint="eastAsia"/>
          <w:color w:val="000000" w:themeColor="text1"/>
          <w14:textFill>
            <w14:solidFill>
              <w14:schemeClr w14:val="tx1"/>
            </w14:solidFill>
          </w14:textFill>
        </w:rPr>
        <w:t>乳产品安全</w:t>
      </w:r>
      <w:r>
        <w:rPr>
          <w:color w:val="000000" w:themeColor="text1"/>
          <w14:textFill>
            <w14:solidFill>
              <w14:schemeClr w14:val="tx1"/>
            </w14:solidFill>
          </w14:textFill>
        </w:rPr>
        <w:t>执法体制改革，拓展综合执法领域。加大</w:t>
      </w:r>
      <w:r>
        <w:rPr>
          <w:rFonts w:hint="eastAsia"/>
          <w:color w:val="000000" w:themeColor="text1"/>
          <w14:textFill>
            <w14:solidFill>
              <w14:schemeClr w14:val="tx1"/>
            </w14:solidFill>
          </w14:textFill>
        </w:rPr>
        <w:t>乳</w:t>
      </w:r>
      <w:r>
        <w:rPr>
          <w:color w:val="000000" w:themeColor="text1"/>
          <w14:textFill>
            <w14:solidFill>
              <w14:schemeClr w14:val="tx1"/>
            </w14:solidFill>
          </w14:textFill>
        </w:rPr>
        <w:t>业</w:t>
      </w:r>
      <w:r>
        <w:rPr>
          <w:rFonts w:hint="eastAsia"/>
          <w:color w:val="000000" w:themeColor="text1"/>
          <w14:textFill>
            <w14:solidFill>
              <w14:schemeClr w14:val="tx1"/>
            </w14:solidFill>
          </w14:textFill>
        </w:rPr>
        <w:t>安全的</w:t>
      </w:r>
      <w:r>
        <w:rPr>
          <w:color w:val="000000" w:themeColor="text1"/>
          <w14:textFill>
            <w14:solidFill>
              <w14:schemeClr w14:val="tx1"/>
            </w14:solidFill>
          </w14:textFill>
        </w:rPr>
        <w:t>执法与监督力度，</w:t>
      </w:r>
      <w:r>
        <w:rPr>
          <w:rFonts w:hint="eastAsia"/>
          <w:color w:val="000000" w:themeColor="text1"/>
          <w14:textFill>
            <w14:solidFill>
              <w14:schemeClr w14:val="tx1"/>
            </w14:solidFill>
          </w14:textFill>
        </w:rPr>
        <w:t>充实执法队伍、落实执法经费、提升执法装备，创新执法机制，强化日常监管</w:t>
      </w:r>
      <w:r>
        <w:rPr>
          <w:color w:val="000000" w:themeColor="text1"/>
          <w14:textFill>
            <w14:solidFill>
              <w14:schemeClr w14:val="tx1"/>
            </w14:solidFill>
          </w14:textFill>
        </w:rPr>
        <w:t>。加大农村普法教育力度，增强农民和农村基层干部的法律意识，维护农民合法权益；通过典型案例宣传，提高履约意识。</w:t>
      </w:r>
      <w:r>
        <w:rPr>
          <w:rFonts w:hint="eastAsia"/>
          <w:color w:val="000000" w:themeColor="text1"/>
          <w14:textFill>
            <w14:solidFill>
              <w14:schemeClr w14:val="tx1"/>
            </w14:solidFill>
          </w14:textFill>
        </w:rPr>
        <w:t>开展相关法律法规执行效果的监测与督察，健全重大环境事件和污染事故责任追究制度及损害赔偿制度。</w:t>
      </w:r>
    </w:p>
    <w:p>
      <w:pPr>
        <w:pStyle w:val="3"/>
        <w:ind w:firstLine="643"/>
        <w:rPr>
          <w:color w:val="000000" w:themeColor="text1"/>
          <w14:textFill>
            <w14:solidFill>
              <w14:schemeClr w14:val="tx1"/>
            </w14:solidFill>
          </w14:textFill>
        </w:rPr>
      </w:pPr>
      <w:bookmarkStart w:id="83" w:name="_Toc80215081"/>
      <w:bookmarkStart w:id="84" w:name="_Toc46757016"/>
      <w:r>
        <w:rPr>
          <w:color w:val="000000" w:themeColor="text1"/>
          <w14:textFill>
            <w14:solidFill>
              <w14:schemeClr w14:val="tx1"/>
            </w14:solidFill>
          </w14:textFill>
        </w:rPr>
        <w:t>强化宣传引导</w:t>
      </w:r>
      <w:bookmarkEnd w:id="83"/>
      <w:bookmarkEnd w:id="84"/>
    </w:p>
    <w:p>
      <w:pPr>
        <w:ind w:firstLine="560"/>
        <w:rPr>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充分</w:t>
      </w:r>
      <w:r>
        <w:rPr>
          <w:rFonts w:cs="Times New Roman"/>
          <w:color w:val="000000" w:themeColor="text1"/>
          <w14:textFill>
            <w14:solidFill>
              <w14:schemeClr w14:val="tx1"/>
            </w14:solidFill>
          </w14:textFill>
        </w:rPr>
        <w:t>利用广播、电视、报纸等传统媒体和新媒体，采取多种形式，</w:t>
      </w:r>
      <w:r>
        <w:rPr>
          <w:rFonts w:hint="eastAsia" w:cs="Times New Roman"/>
          <w:color w:val="000000" w:themeColor="text1"/>
          <w14:textFill>
            <w14:solidFill>
              <w14:schemeClr w14:val="tx1"/>
            </w14:solidFill>
          </w14:textFill>
        </w:rPr>
        <w:t>加强“中国</w:t>
      </w:r>
      <w:r>
        <w:rPr>
          <w:rFonts w:cs="Times New Roman"/>
          <w:color w:val="000000" w:themeColor="text1"/>
          <w14:textFill>
            <w14:solidFill>
              <w14:schemeClr w14:val="tx1"/>
            </w14:solidFill>
          </w14:textFill>
        </w:rPr>
        <w:t>乳都</w:t>
      </w:r>
      <w:r>
        <w:rPr>
          <w:rFonts w:hint="eastAsia" w:cs="Times New Roman"/>
          <w:color w:val="000000" w:themeColor="text1"/>
          <w14:textFill>
            <w14:solidFill>
              <w14:schemeClr w14:val="tx1"/>
            </w14:solidFill>
          </w14:textFill>
        </w:rPr>
        <w:t>”建设宣传</w:t>
      </w:r>
      <w:r>
        <w:rPr>
          <w:rFonts w:cs="Times New Roman"/>
          <w:color w:val="000000" w:themeColor="text1"/>
          <w14:textFill>
            <w14:solidFill>
              <w14:schemeClr w14:val="tx1"/>
            </w14:solidFill>
          </w14:textFill>
        </w:rPr>
        <w:t>，切实提高</w:t>
      </w:r>
      <w:r>
        <w:rPr>
          <w:rFonts w:hint="eastAsia" w:cs="Times New Roman"/>
          <w:color w:val="000000" w:themeColor="text1"/>
          <w14:textFill>
            <w14:solidFill>
              <w14:schemeClr w14:val="tx1"/>
            </w14:solidFill>
          </w14:textFill>
        </w:rPr>
        <w:t>乳</w:t>
      </w:r>
      <w:r>
        <w:rPr>
          <w:rFonts w:cs="Times New Roman"/>
          <w:color w:val="000000" w:themeColor="text1"/>
          <w14:textFill>
            <w14:solidFill>
              <w14:schemeClr w14:val="tx1"/>
            </w14:solidFill>
          </w14:textFill>
        </w:rPr>
        <w:t>业绿色发展意识和自觉性，提高公众认知度和参与度，为着力推进</w:t>
      </w:r>
      <w:r>
        <w:rPr>
          <w:rFonts w:hint="eastAsia" w:cs="Times New Roman"/>
          <w:color w:val="000000" w:themeColor="text1"/>
          <w14:textFill>
            <w14:solidFill>
              <w14:schemeClr w14:val="tx1"/>
            </w14:solidFill>
          </w14:textFill>
        </w:rPr>
        <w:t>乳都创建</w:t>
      </w:r>
      <w:r>
        <w:rPr>
          <w:rFonts w:cs="Times New Roman"/>
          <w:color w:val="000000" w:themeColor="text1"/>
          <w14:textFill>
            <w14:solidFill>
              <w14:schemeClr w14:val="tx1"/>
            </w14:solidFill>
          </w14:textFill>
        </w:rPr>
        <w:t>工作营造良好舆论氛围。</w:t>
      </w:r>
      <w:r>
        <w:rPr>
          <w:rFonts w:hint="eastAsia"/>
          <w:color w:val="000000" w:themeColor="text1"/>
          <w14:textFill>
            <w14:solidFill>
              <w14:schemeClr w14:val="tx1"/>
            </w14:solidFill>
          </w14:textFill>
        </w:rPr>
        <w:t>要注重总结推广先进典型和成功经验，增强乳业经营主体生态环保意识，营造全市共同关注、支持乳业发展的良好氛围，促进全市乳业更好更快发展，</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建设</w:t>
      </w:r>
      <w:r>
        <w:rPr>
          <w:color w:val="000000" w:themeColor="text1"/>
          <w14:textFill>
            <w14:solidFill>
              <w14:schemeClr w14:val="tx1"/>
            </w14:solidFill>
          </w14:textFill>
        </w:rPr>
        <w:t>中国乳都奠定</w:t>
      </w:r>
      <w:r>
        <w:rPr>
          <w:rFonts w:hint="eastAsia"/>
          <w:color w:val="000000" w:themeColor="text1"/>
          <w14:textFill>
            <w14:solidFill>
              <w14:schemeClr w14:val="tx1"/>
            </w14:solidFill>
          </w14:textFill>
        </w:rPr>
        <w:t>坚实</w:t>
      </w:r>
      <w:r>
        <w:rPr>
          <w:color w:val="000000" w:themeColor="text1"/>
          <w14:textFill>
            <w14:solidFill>
              <w14:schemeClr w14:val="tx1"/>
            </w14:solidFill>
          </w14:textFill>
        </w:rPr>
        <w:t>基础</w:t>
      </w:r>
      <w:r>
        <w:rPr>
          <w:rFonts w:hint="eastAsia"/>
          <w:color w:val="000000" w:themeColor="text1"/>
          <w14:textFill>
            <w14:solidFill>
              <w14:schemeClr w14:val="tx1"/>
            </w14:solidFill>
          </w14:textFill>
        </w:rPr>
        <w:t>。</w:t>
      </w:r>
    </w:p>
    <w:p>
      <w:pPr>
        <w:widowControl/>
        <w:spacing w:before="340" w:after="330" w:line="578" w:lineRule="auto"/>
        <w:ind w:left="420"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numPr>
          <w:ilvl w:val="0"/>
          <w:numId w:val="0"/>
        </w:numPr>
        <w:ind w:left="432" w:hanging="432"/>
        <w:jc w:val="both"/>
        <w:rPr>
          <w:color w:val="000000" w:themeColor="text1"/>
          <w14:textFill>
            <w14:solidFill>
              <w14:schemeClr w14:val="tx1"/>
            </w14:solidFill>
          </w14:textFill>
        </w:rPr>
      </w:pPr>
      <w:bookmarkStart w:id="85" w:name="_Toc59524110"/>
      <w:bookmarkStart w:id="86" w:name="_Toc80215082"/>
      <w:r>
        <w:rPr>
          <w:rFonts w:hint="eastAsia"/>
          <w:color w:val="000000" w:themeColor="text1"/>
          <w14:textFill>
            <w14:solidFill>
              <w14:schemeClr w14:val="tx1"/>
            </w14:solidFill>
          </w14:textFill>
        </w:rPr>
        <w:t>附件</w:t>
      </w:r>
      <w:bookmarkEnd w:id="85"/>
      <w:bookmarkEnd w:id="86"/>
    </w:p>
    <w:p>
      <w:pPr>
        <w:pStyle w:val="3"/>
        <w:numPr>
          <w:ilvl w:val="0"/>
          <w:numId w:val="0"/>
        </w:numPr>
        <w:rPr>
          <w:color w:val="000000" w:themeColor="text1"/>
          <w14:textFill>
            <w14:solidFill>
              <w14:schemeClr w14:val="tx1"/>
            </w14:solidFill>
          </w14:textFill>
        </w:rPr>
      </w:pPr>
      <w:bookmarkStart w:id="87" w:name="_Toc61421586"/>
      <w:bookmarkStart w:id="88" w:name="_Toc80215083"/>
      <w:r>
        <w:rPr>
          <w:rFonts w:hint="eastAsia"/>
          <w:color w:val="000000" w:themeColor="text1"/>
          <w14:textFill>
            <w14:solidFill>
              <w14:schemeClr w14:val="tx1"/>
            </w14:solidFill>
          </w14:textFill>
        </w:rPr>
        <w:t>附件1</w:t>
      </w:r>
      <w:bookmarkEnd w:id="87"/>
      <w:bookmarkEnd w:id="88"/>
    </w:p>
    <w:p>
      <w:pPr>
        <w:ind w:firstLine="0" w:firstLineChars="0"/>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规划编制依据</w:t>
      </w:r>
    </w:p>
    <w:p>
      <w:pPr>
        <w:numPr>
          <w:ilvl w:val="0"/>
          <w:numId w:val="4"/>
        </w:numPr>
        <w:ind w:left="0"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《中共中央关于制定国民经济和社会发展第十四个五年规划和二〇三五年远景目标的建议》</w:t>
      </w:r>
    </w:p>
    <w:p>
      <w:pPr>
        <w:numPr>
          <w:ilvl w:val="0"/>
          <w:numId w:val="4"/>
        </w:numPr>
        <w:ind w:left="0"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《乡村振兴战略规划（2018－2022年）》</w:t>
      </w:r>
    </w:p>
    <w:p>
      <w:pPr>
        <w:numPr>
          <w:ilvl w:val="0"/>
          <w:numId w:val="4"/>
        </w:numPr>
        <w:ind w:left="0"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《国家质量兴农战略规划（2018—2022年）》</w:t>
      </w:r>
    </w:p>
    <w:p>
      <w:pPr>
        <w:numPr>
          <w:ilvl w:val="0"/>
          <w:numId w:val="4"/>
        </w:numPr>
        <w:ind w:left="0"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《国务院办公厅关于推进奶业振兴保障乳品质量安全的意见》</w:t>
      </w:r>
    </w:p>
    <w:p>
      <w:pPr>
        <w:numPr>
          <w:ilvl w:val="0"/>
          <w:numId w:val="4"/>
        </w:numPr>
        <w:ind w:left="0"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中共中央办公厅 国务院办公厅印发《关于创新体制机制推进农业绿色发展的意见》</w:t>
      </w:r>
    </w:p>
    <w:p>
      <w:pPr>
        <w:numPr>
          <w:ilvl w:val="0"/>
          <w:numId w:val="4"/>
        </w:numPr>
        <w:ind w:left="0"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农业农村部等九部委《关于进一步促进奶业振兴的若干意见》（农牧发〔2018〕18号）</w:t>
      </w:r>
    </w:p>
    <w:p>
      <w:pPr>
        <w:numPr>
          <w:ilvl w:val="0"/>
          <w:numId w:val="4"/>
        </w:numPr>
        <w:ind w:left="0"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《农业农村部关于印发&lt;全国乡村产业发展规划（2020-2025年）&gt;的通知》（农产发〔2020〕4号）</w:t>
      </w:r>
    </w:p>
    <w:p>
      <w:pPr>
        <w:numPr>
          <w:ilvl w:val="0"/>
          <w:numId w:val="4"/>
        </w:numPr>
        <w:ind w:left="0"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《农业农村部办公厅关于印发&lt;奶业品牌提升实施方案&gt;的通知》（农办牧〔2019〕29号）</w:t>
      </w:r>
    </w:p>
    <w:p>
      <w:pPr>
        <w:numPr>
          <w:ilvl w:val="0"/>
          <w:numId w:val="4"/>
        </w:numPr>
        <w:ind w:left="0"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《内蒙古自治区人民政府办公厅关于推进奶业振兴的实施意见》</w:t>
      </w:r>
    </w:p>
    <w:p>
      <w:pPr>
        <w:numPr>
          <w:ilvl w:val="0"/>
          <w:numId w:val="4"/>
        </w:numPr>
        <w:ind w:left="0"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《内蒙古自治区人民政府办公厅关于印发推进奶业振兴若干政策措施的通知》（内政办发〔2019〕33号）</w:t>
      </w:r>
    </w:p>
    <w:p>
      <w:pPr>
        <w:numPr>
          <w:ilvl w:val="0"/>
          <w:numId w:val="4"/>
        </w:numPr>
        <w:ind w:left="0"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《内蒙古自治区人民政府办公厅关于印发&lt;农业高质量发展三年行动方案（2020年—2022年）&gt;的通知》</w:t>
      </w:r>
    </w:p>
    <w:p>
      <w:pPr>
        <w:numPr>
          <w:ilvl w:val="0"/>
          <w:numId w:val="4"/>
        </w:numPr>
        <w:ind w:left="0"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《呼和浩特市人民政府关于打造“中国乳都”升级版的若干意见》</w:t>
      </w:r>
    </w:p>
    <w:p>
      <w:pPr>
        <w:numPr>
          <w:ilvl w:val="0"/>
          <w:numId w:val="4"/>
        </w:numPr>
        <w:ind w:left="0"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《呼和浩特市人民政府关于印发&lt;呼和浩特市奶业发展扶持政策（试行）&gt;的通知》（呼政发〔2019〕8号）</w:t>
      </w:r>
    </w:p>
    <w:p>
      <w:pPr>
        <w:numPr>
          <w:ilvl w:val="0"/>
          <w:numId w:val="4"/>
        </w:numPr>
        <w:ind w:left="0"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《呼和浩特市奶牛良种繁育体系建设实施方案（2020-2025年）》</w:t>
      </w:r>
    </w:p>
    <w:p>
      <w:pPr>
        <w:numPr>
          <w:ilvl w:val="0"/>
          <w:numId w:val="4"/>
        </w:numPr>
        <w:ind w:left="0" w:firstLine="56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《呼和浩特市人民政府关于进一步推动科技创新构建区域创新中心的实施意见（试行）》</w:t>
      </w:r>
    </w:p>
    <w:p>
      <w:pPr>
        <w:numPr>
          <w:ilvl w:val="0"/>
          <w:numId w:val="4"/>
        </w:numPr>
        <w:ind w:left="0" w:firstLine="560"/>
        <w:rPr>
          <w:color w:val="000000" w:themeColor="text1"/>
          <w:kern w:val="0"/>
          <w14:textFill>
            <w14:solidFill>
              <w14:schemeClr w14:val="tx1"/>
            </w14:solidFill>
          </w14:textFill>
        </w:rPr>
      </w:pPr>
      <w:r>
        <w:rPr>
          <w:rFonts w:hint="eastAsia"/>
          <w:color w:val="000000" w:themeColor="text1"/>
          <w:shd w:val="clear" w:color="auto" w:fill="FFFFFF"/>
          <w14:textFill>
            <w14:solidFill>
              <w14:schemeClr w14:val="tx1"/>
            </w14:solidFill>
          </w14:textFill>
        </w:rPr>
        <w:t>《呼和浩特市打造以乳业为核心的绿色食品加工产业集群高质量发展三年行动方案（</w:t>
      </w:r>
      <w:r>
        <w:rPr>
          <w:color w:val="000000" w:themeColor="text1"/>
          <w:shd w:val="clear" w:color="auto" w:fill="FFFFFF"/>
          <w14:textFill>
            <w14:solidFill>
              <w14:schemeClr w14:val="tx1"/>
            </w14:solidFill>
          </w14:textFill>
        </w:rPr>
        <w:t>2021—2023</w:t>
      </w:r>
      <w:r>
        <w:rPr>
          <w:rFonts w:hint="eastAsia"/>
          <w:color w:val="000000" w:themeColor="text1"/>
          <w:shd w:val="clear" w:color="auto" w:fill="FFFFFF"/>
          <w14:textFill>
            <w14:solidFill>
              <w14:schemeClr w14:val="tx1"/>
            </w14:solidFill>
          </w14:textFill>
        </w:rPr>
        <w:t>年）》</w:t>
      </w:r>
    </w:p>
    <w:p>
      <w:pPr>
        <w:numPr>
          <w:ilvl w:val="0"/>
          <w:numId w:val="4"/>
        </w:numPr>
        <w:ind w:left="0" w:firstLine="56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《呼和浩特市培养引进使用高层次人才规定》</w:t>
      </w:r>
    </w:p>
    <w:p>
      <w:pPr>
        <w:numPr>
          <w:ilvl w:val="0"/>
          <w:numId w:val="4"/>
        </w:numPr>
        <w:ind w:left="0" w:firstLine="56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《呼和浩特市推进人才优先发展战略的若干措施（试行）》</w:t>
      </w:r>
    </w:p>
    <w:p>
      <w:pPr>
        <w:numPr>
          <w:ilvl w:val="0"/>
          <w:numId w:val="4"/>
        </w:numPr>
        <w:ind w:left="0" w:firstLine="56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《呼和浩特市生鲜乳质量安全管理试行办法》</w:t>
      </w:r>
    </w:p>
    <w:p>
      <w:pPr>
        <w:widowControl/>
        <w:spacing w:before="340" w:after="330" w:line="578" w:lineRule="auto"/>
        <w:ind w:left="420" w:firstLine="0" w:firstLineChars="0"/>
        <w:jc w:val="center"/>
        <w:rPr>
          <w:color w:val="000000" w:themeColor="text1"/>
          <w14:textFill>
            <w14:solidFill>
              <w14:schemeClr w14:val="tx1"/>
            </w14:solidFill>
          </w14:textFill>
        </w:rPr>
        <w:sectPr>
          <w:footerReference r:id="rId12" w:type="default"/>
          <w:pgSz w:w="11906" w:h="16838"/>
          <w:pgMar w:top="1440" w:right="1797" w:bottom="1440" w:left="1797" w:header="851" w:footer="992" w:gutter="0"/>
          <w:pgNumType w:start="1"/>
          <w:cols w:space="425" w:num="1"/>
          <w:docGrid w:type="lines" w:linePitch="312" w:charSpace="0"/>
        </w:sectPr>
      </w:pPr>
    </w:p>
    <w:p>
      <w:pPr>
        <w:pStyle w:val="3"/>
        <w:numPr>
          <w:ilvl w:val="0"/>
          <w:numId w:val="0"/>
        </w:numPr>
        <w:rPr>
          <w:color w:val="000000" w:themeColor="text1"/>
          <w14:textFill>
            <w14:solidFill>
              <w14:schemeClr w14:val="tx1"/>
            </w14:solidFill>
          </w14:textFill>
        </w:rPr>
      </w:pPr>
      <w:bookmarkStart w:id="89" w:name="_Toc80215084"/>
      <w:bookmarkStart w:id="90" w:name="_Toc61421587"/>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2</w:t>
      </w:r>
      <w:bookmarkEnd w:id="89"/>
      <w:bookmarkEnd w:id="90"/>
    </w:p>
    <w:p>
      <w:pPr>
        <w:ind w:firstLine="0" w:firstLineChars="0"/>
        <w:jc w:val="center"/>
        <w:rPr>
          <w:color w:val="000000" w:themeColor="text1"/>
          <w14:textFill>
            <w14:solidFill>
              <w14:schemeClr w14:val="tx1"/>
            </w14:solidFill>
          </w14:textFill>
        </w:rPr>
      </w:pPr>
      <w:r>
        <w:rPr>
          <w:rFonts w:hint="eastAsia"/>
          <w:b/>
          <w:bCs/>
          <w:color w:val="000000" w:themeColor="text1"/>
          <w:sz w:val="36"/>
          <w:szCs w:val="36"/>
          <w14:textFill>
            <w14:solidFill>
              <w14:schemeClr w14:val="tx1"/>
            </w14:solidFill>
          </w14:textFill>
        </w:rPr>
        <w:t>呼和浩特市中国乳都总体规划项目清单</w:t>
      </w:r>
    </w:p>
    <w:tbl>
      <w:tblPr>
        <w:tblStyle w:val="34"/>
        <w:tblW w:w="13948" w:type="dxa"/>
        <w:tblInd w:w="0" w:type="dxa"/>
        <w:tblLayout w:type="fixed"/>
        <w:tblCellMar>
          <w:top w:w="0" w:type="dxa"/>
          <w:left w:w="108" w:type="dxa"/>
          <w:bottom w:w="0" w:type="dxa"/>
          <w:right w:w="108" w:type="dxa"/>
        </w:tblCellMar>
      </w:tblPr>
      <w:tblGrid>
        <w:gridCol w:w="723"/>
        <w:gridCol w:w="2131"/>
        <w:gridCol w:w="7557"/>
        <w:gridCol w:w="1534"/>
        <w:gridCol w:w="2003"/>
      </w:tblGrid>
      <w:tr>
        <w:tblPrEx>
          <w:tblCellMar>
            <w:top w:w="0" w:type="dxa"/>
            <w:left w:w="108" w:type="dxa"/>
            <w:bottom w:w="0" w:type="dxa"/>
            <w:right w:w="108" w:type="dxa"/>
          </w:tblCellMar>
        </w:tblPrEx>
        <w:trPr>
          <w:trHeight w:val="20" w:hRule="atLeast"/>
          <w:tblHeader/>
        </w:trPr>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cs="Times New Roman"/>
                <w:b/>
                <w:bCs/>
                <w:color w:val="000000" w:themeColor="text1"/>
                <w:kern w:val="0"/>
                <w:sz w:val="22"/>
                <w:szCs w:val="22"/>
                <w14:textFill>
                  <w14:solidFill>
                    <w14:schemeClr w14:val="tx1"/>
                  </w14:solidFill>
                </w14:textFill>
              </w:rPr>
            </w:pPr>
            <w:r>
              <w:rPr>
                <w:rFonts w:hint="eastAsia" w:cs="Times New Roman"/>
                <w:b/>
                <w:bCs/>
                <w:color w:val="000000" w:themeColor="text1"/>
                <w:kern w:val="0"/>
                <w:sz w:val="22"/>
                <w:szCs w:val="22"/>
                <w14:textFill>
                  <w14:solidFill>
                    <w14:schemeClr w14:val="tx1"/>
                  </w14:solidFill>
                </w14:textFill>
              </w:rPr>
              <w:t>序号</w:t>
            </w:r>
          </w:p>
        </w:tc>
        <w:tc>
          <w:tcPr>
            <w:tcW w:w="213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项目名称</w:t>
            </w:r>
          </w:p>
        </w:tc>
        <w:tc>
          <w:tcPr>
            <w:tcW w:w="7557"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建设内容</w:t>
            </w:r>
          </w:p>
        </w:tc>
        <w:tc>
          <w:tcPr>
            <w:tcW w:w="1534"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建设地点</w:t>
            </w:r>
          </w:p>
        </w:tc>
        <w:tc>
          <w:tcPr>
            <w:tcW w:w="2003"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计划总投资（万元）</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一</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优势奶源基地建设工程</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　</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　</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eastAsia="等线" w:cs="Times New Roman"/>
                <w:b/>
                <w:bCs/>
                <w:color w:val="000000" w:themeColor="text1"/>
                <w:sz w:val="22"/>
                <w:szCs w:val="22"/>
                <w14:textFill>
                  <w14:solidFill>
                    <w14:schemeClr w14:val="tx1"/>
                  </w14:solidFill>
                </w14:textFill>
              </w:rPr>
              <w:t>1135000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1.1</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奶牛良种繁育体系建设项目</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依托伊利、蒙牛、赛科星等龙头企业，开展优质奶牛品种引进、奶牛品种改良和规范化养殖技术研究，分别在和林格尔县和清河县建设奶牛良种繁育中心</w:t>
            </w:r>
            <w:r>
              <w:rPr>
                <w:rFonts w:cs="Times New Roman"/>
                <w:color w:val="000000" w:themeColor="text1"/>
                <w:sz w:val="22"/>
                <w:szCs w:val="22"/>
                <w14:textFill>
                  <w14:solidFill>
                    <w14:schemeClr w14:val="tx1"/>
                  </w14:solidFill>
                </w14:textFill>
              </w:rPr>
              <w:t>2</w:t>
            </w:r>
            <w:r>
              <w:rPr>
                <w:rFonts w:hint="eastAsia"/>
                <w:color w:val="000000" w:themeColor="text1"/>
                <w:sz w:val="22"/>
                <w:szCs w:val="22"/>
                <w14:textFill>
                  <w14:solidFill>
                    <w14:schemeClr w14:val="tx1"/>
                  </w14:solidFill>
                </w14:textFill>
              </w:rPr>
              <w:t>处，奶牛良种繁育场</w:t>
            </w:r>
            <w:r>
              <w:rPr>
                <w:rFonts w:cs="Times New Roman"/>
                <w:color w:val="000000" w:themeColor="text1"/>
                <w:sz w:val="22"/>
                <w:szCs w:val="22"/>
                <w14:textFill>
                  <w14:solidFill>
                    <w14:schemeClr w14:val="tx1"/>
                  </w14:solidFill>
                </w14:textFill>
              </w:rPr>
              <w:t>15</w:t>
            </w:r>
            <w:r>
              <w:rPr>
                <w:rFonts w:hint="eastAsia"/>
                <w:color w:val="000000" w:themeColor="text1"/>
                <w:sz w:val="22"/>
                <w:szCs w:val="22"/>
                <w14:textFill>
                  <w14:solidFill>
                    <w14:schemeClr w14:val="tx1"/>
                  </w14:solidFill>
                </w14:textFill>
              </w:rPr>
              <w:t>处，建设相互配套供种体系，提升规模化、设施化、标准化水平。重点加快奶牛性控技术、胚胎工程技术和分子育种技术的应用。</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和林格尔县和清水河县</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25000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1.2</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奶（山）羊良种繁育工程项目</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依托盛健集团，引进的优质奶山羊种羊品种萨能、土根堡、阿尔卑斯等，开展奶山羊良种培育工程，培育奶山羊核心种羊场</w:t>
            </w:r>
            <w:r>
              <w:rPr>
                <w:rFonts w:cs="Times New Roman"/>
                <w:color w:val="000000" w:themeColor="text1"/>
                <w:sz w:val="22"/>
                <w:szCs w:val="22"/>
                <w14:textFill>
                  <w14:solidFill>
                    <w14:schemeClr w14:val="tx1"/>
                  </w14:solidFill>
                </w14:textFill>
              </w:rPr>
              <w:t>2</w:t>
            </w:r>
            <w:r>
              <w:rPr>
                <w:rFonts w:hint="eastAsia"/>
                <w:color w:val="000000" w:themeColor="text1"/>
                <w:sz w:val="22"/>
                <w:szCs w:val="22"/>
                <w14:textFill>
                  <w14:solidFill>
                    <w14:schemeClr w14:val="tx1"/>
                  </w14:solidFill>
                </w14:textFill>
              </w:rPr>
              <w:t>个，奶山羊良种繁育场</w:t>
            </w:r>
            <w:r>
              <w:rPr>
                <w:rFonts w:cs="Times New Roman"/>
                <w:color w:val="000000" w:themeColor="text1"/>
                <w:sz w:val="22"/>
                <w:szCs w:val="22"/>
                <w14:textFill>
                  <w14:solidFill>
                    <w14:schemeClr w14:val="tx1"/>
                  </w14:solidFill>
                </w14:textFill>
              </w:rPr>
              <w:t>5</w:t>
            </w:r>
            <w:r>
              <w:rPr>
                <w:rFonts w:hint="eastAsia"/>
                <w:color w:val="000000" w:themeColor="text1"/>
                <w:sz w:val="22"/>
                <w:szCs w:val="22"/>
                <w14:textFill>
                  <w14:solidFill>
                    <w14:schemeClr w14:val="tx1"/>
                  </w14:solidFill>
                </w14:textFill>
              </w:rPr>
              <w:t>处，</w:t>
            </w:r>
            <w:r>
              <w:rPr>
                <w:rFonts w:cs="Times New Roman"/>
                <w:color w:val="000000" w:themeColor="text1"/>
                <w:sz w:val="22"/>
                <w:szCs w:val="22"/>
                <w14:textFill>
                  <w14:solidFill>
                    <w14:schemeClr w14:val="tx1"/>
                  </w14:solidFill>
                </w14:textFill>
              </w:rPr>
              <w:t>2025</w:t>
            </w:r>
            <w:r>
              <w:rPr>
                <w:rFonts w:hint="eastAsia"/>
                <w:color w:val="000000" w:themeColor="text1"/>
                <w:sz w:val="22"/>
                <w:szCs w:val="22"/>
                <w14:textFill>
                  <w14:solidFill>
                    <w14:schemeClr w14:val="tx1"/>
                  </w14:solidFill>
                </w14:textFill>
              </w:rPr>
              <w:t>年实现基础母羊存栏数达到</w:t>
            </w:r>
            <w:r>
              <w:rPr>
                <w:rFonts w:cs="Times New Roman"/>
                <w:color w:val="000000" w:themeColor="text1"/>
                <w:sz w:val="22"/>
                <w:szCs w:val="22"/>
                <w14:textFill>
                  <w14:solidFill>
                    <w14:schemeClr w14:val="tx1"/>
                  </w14:solidFill>
                </w14:textFill>
              </w:rPr>
              <w:t>50</w:t>
            </w:r>
            <w:r>
              <w:rPr>
                <w:rFonts w:hint="eastAsia"/>
                <w:color w:val="000000" w:themeColor="text1"/>
                <w:sz w:val="22"/>
                <w:szCs w:val="22"/>
                <w14:textFill>
                  <w14:solidFill>
                    <w14:schemeClr w14:val="tx1"/>
                  </w14:solidFill>
                </w14:textFill>
              </w:rPr>
              <w:t>万只，服务于呼和浩特市羊奶产业，以此拉动呼和浩特地区奶山羊养殖集中、集约、集聚快速发展。</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和林格尔县和清水河县</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2000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1.3</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现代化牧场示范基地项目</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依托伊利集团、蒙牛等企业，分别以和林格尔县、土默特左旗、清水河县为核心区域，建设</w:t>
            </w:r>
            <w:r>
              <w:rPr>
                <w:rFonts w:cs="Times New Roman"/>
                <w:color w:val="000000" w:themeColor="text1"/>
                <w:sz w:val="22"/>
                <w:szCs w:val="22"/>
                <w14:textFill>
                  <w14:solidFill>
                    <w14:schemeClr w14:val="tx1"/>
                  </w14:solidFill>
                </w14:textFill>
              </w:rPr>
              <w:t>3000-12000</w:t>
            </w:r>
            <w:r>
              <w:rPr>
                <w:rFonts w:hint="eastAsia"/>
                <w:color w:val="000000" w:themeColor="text1"/>
                <w:sz w:val="22"/>
                <w:szCs w:val="22"/>
                <w14:textFill>
                  <w14:solidFill>
                    <w14:schemeClr w14:val="tx1"/>
                  </w14:solidFill>
                </w14:textFill>
              </w:rPr>
              <w:t>头规模或同等规模的高产、智慧、生态奶牛养殖牧场</w:t>
            </w:r>
            <w:r>
              <w:rPr>
                <w:rFonts w:cs="Times New Roman"/>
                <w:color w:val="000000" w:themeColor="text1"/>
                <w:sz w:val="22"/>
                <w:szCs w:val="22"/>
                <w14:textFill>
                  <w14:solidFill>
                    <w14:schemeClr w14:val="tx1"/>
                  </w14:solidFill>
                </w14:textFill>
              </w:rPr>
              <w:t>30</w:t>
            </w:r>
            <w:r>
              <w:rPr>
                <w:rFonts w:hint="eastAsia"/>
                <w:color w:val="000000" w:themeColor="text1"/>
                <w:sz w:val="22"/>
                <w:szCs w:val="22"/>
                <w14:textFill>
                  <w14:solidFill>
                    <w14:schemeClr w14:val="tx1"/>
                  </w14:solidFill>
                </w14:textFill>
              </w:rPr>
              <w:t>座。通过提高设备机械化、数字化和智能化水平。逐步推进规模化奶牛养殖场数字牧场全覆盖。</w:t>
            </w:r>
          </w:p>
        </w:tc>
        <w:tc>
          <w:tcPr>
            <w:tcW w:w="1534"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全市</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1003000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color w:val="000000" w:themeColor="text1"/>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1.4</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highlight w:val="yellow"/>
                <w14:textFill>
                  <w14:solidFill>
                    <w14:schemeClr w14:val="tx1"/>
                  </w14:solidFill>
                </w14:textFill>
              </w:rPr>
            </w:pPr>
            <w:r>
              <w:rPr>
                <w:rFonts w:hint="eastAsia"/>
                <w:color w:val="000000" w:themeColor="text1"/>
                <w:sz w:val="22"/>
                <w:szCs w:val="22"/>
                <w14:textFill>
                  <w14:solidFill>
                    <w14:schemeClr w14:val="tx1"/>
                  </w14:solidFill>
                </w14:textFill>
              </w:rPr>
              <w:t>优质饲草良种培育项目</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依托中科院草原研究所、内蒙古农业大学等主体，共同打造集“技术研究</w:t>
            </w:r>
            <w:r>
              <w:rPr>
                <w:rFonts w:cs="Times New Roman"/>
                <w:color w:val="000000" w:themeColor="text1"/>
                <w:sz w:val="22"/>
                <w:szCs w:val="22"/>
                <w14:textFill>
                  <w14:solidFill>
                    <w14:schemeClr w14:val="tx1"/>
                  </w14:solidFill>
                </w14:textFill>
              </w:rPr>
              <w:t>+</w:t>
            </w:r>
            <w:r>
              <w:rPr>
                <w:rFonts w:hint="eastAsia"/>
                <w:color w:val="000000" w:themeColor="text1"/>
                <w:sz w:val="22"/>
                <w:szCs w:val="22"/>
                <w14:textFill>
                  <w14:solidFill>
                    <w14:schemeClr w14:val="tx1"/>
                  </w14:solidFill>
                </w14:textFill>
              </w:rPr>
              <w:t>休闲观光</w:t>
            </w:r>
            <w:r>
              <w:rPr>
                <w:rFonts w:cs="Times New Roman"/>
                <w:color w:val="000000" w:themeColor="text1"/>
                <w:sz w:val="22"/>
                <w:szCs w:val="22"/>
                <w14:textFill>
                  <w14:solidFill>
                    <w14:schemeClr w14:val="tx1"/>
                  </w14:solidFill>
                </w14:textFill>
              </w:rPr>
              <w:t>+</w:t>
            </w:r>
            <w:r>
              <w:rPr>
                <w:rFonts w:hint="eastAsia"/>
                <w:color w:val="000000" w:themeColor="text1"/>
                <w:sz w:val="22"/>
                <w:szCs w:val="22"/>
                <w14:textFill>
                  <w14:solidFill>
                    <w14:schemeClr w14:val="tx1"/>
                  </w14:solidFill>
                </w14:textFill>
              </w:rPr>
              <w:t>教学示范”于一体的多功能科技产业基地</w:t>
            </w:r>
            <w:r>
              <w:rPr>
                <w:rFonts w:cs="Times New Roman"/>
                <w:color w:val="000000" w:themeColor="text1"/>
                <w:sz w:val="22"/>
                <w:szCs w:val="22"/>
                <w14:textFill>
                  <w14:solidFill>
                    <w14:schemeClr w14:val="tx1"/>
                  </w14:solidFill>
                </w14:textFill>
              </w:rPr>
              <w:t>5000</w:t>
            </w:r>
            <w:r>
              <w:rPr>
                <w:rFonts w:hint="eastAsia"/>
                <w:color w:val="000000" w:themeColor="text1"/>
                <w:sz w:val="22"/>
                <w:szCs w:val="22"/>
                <w14:textFill>
                  <w14:solidFill>
                    <w14:schemeClr w14:val="tx1"/>
                  </w14:solidFill>
                </w14:textFill>
              </w:rPr>
              <w:t>余亩，开展牧草品种研究开发。依托蒙草公司开展牧草品种研究开发，草都农牧业公司打造牧草交易数据中心</w:t>
            </w:r>
            <w:r>
              <w:rPr>
                <w:rFonts w:hint="eastAsia"/>
                <w:color w:val="000000" w:themeColor="text1"/>
                <w:sz w:val="22"/>
                <w:szCs w:val="22"/>
                <w:lang w:eastAsia="zh-CN"/>
                <w14:textFill>
                  <w14:solidFill>
                    <w14:schemeClr w14:val="tx1"/>
                  </w14:solidFill>
                </w14:textFill>
              </w:rPr>
              <w:t>及</w:t>
            </w:r>
            <w:r>
              <w:rPr>
                <w:rFonts w:hint="eastAsia"/>
                <w:color w:val="000000" w:themeColor="text1"/>
                <w:sz w:val="22"/>
                <w:szCs w:val="22"/>
                <w14:textFill>
                  <w14:solidFill>
                    <w14:schemeClr w14:val="tx1"/>
                  </w14:solidFill>
                </w14:textFill>
              </w:rPr>
              <w:t>商品草种植基地为一体的牧草产业体系</w:t>
            </w: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14:textFill>
                  <w14:solidFill>
                    <w14:schemeClr w14:val="tx1"/>
                  </w14:solidFill>
                </w14:textFill>
              </w:rPr>
              <w:t>正时生态（农业）有限公司</w:t>
            </w:r>
            <w:r>
              <w:rPr>
                <w:rFonts w:hint="eastAsia"/>
                <w:color w:val="000000" w:themeColor="text1"/>
                <w:sz w:val="22"/>
                <w:szCs w:val="22"/>
                <w:lang w:eastAsia="zh-CN"/>
                <w14:textFill>
                  <w14:solidFill>
                    <w14:schemeClr w14:val="tx1"/>
                  </w14:solidFill>
                </w14:textFill>
              </w:rPr>
              <w:t>建设</w:t>
            </w:r>
            <w:r>
              <w:rPr>
                <w:rFonts w:hint="eastAsia"/>
                <w:color w:val="000000" w:themeColor="text1"/>
                <w:sz w:val="22"/>
                <w:szCs w:val="22"/>
                <w14:textFill>
                  <w14:solidFill>
                    <w14:schemeClr w14:val="tx1"/>
                  </w14:solidFill>
                </w14:textFill>
              </w:rPr>
              <w:t>牧草产业园区。</w:t>
            </w:r>
          </w:p>
        </w:tc>
        <w:tc>
          <w:tcPr>
            <w:tcW w:w="1534"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全市</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30000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1.5</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优质饲草基地项目</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坚持种养结合、以养带种，结合奶牛标准化规模养殖示范基地、高标准农田及盐碱地改良项目的建设，通过实施牧草良种补贴，高产创建示范项目，在和林县格尔县、土默特左旗、赛罕区、清水河县等建设优质饲草基地</w:t>
            </w:r>
            <w:r>
              <w:rPr>
                <w:rFonts w:cs="Times New Roman"/>
                <w:color w:val="000000" w:themeColor="text1"/>
                <w:sz w:val="22"/>
                <w:szCs w:val="22"/>
                <w14:textFill>
                  <w14:solidFill>
                    <w14:schemeClr w14:val="tx1"/>
                  </w14:solidFill>
                </w14:textFill>
              </w:rPr>
              <w:t>180</w:t>
            </w:r>
            <w:r>
              <w:rPr>
                <w:rFonts w:hint="eastAsia"/>
                <w:color w:val="000000" w:themeColor="text1"/>
                <w:sz w:val="22"/>
                <w:szCs w:val="22"/>
                <w14:textFill>
                  <w14:solidFill>
                    <w14:schemeClr w14:val="tx1"/>
                  </w14:solidFill>
                </w14:textFill>
              </w:rPr>
              <w:t>万亩，青贮玉米</w:t>
            </w:r>
            <w:r>
              <w:rPr>
                <w:rFonts w:cs="Times New Roman"/>
                <w:color w:val="000000" w:themeColor="text1"/>
                <w:sz w:val="22"/>
                <w:szCs w:val="22"/>
                <w14:textFill>
                  <w14:solidFill>
                    <w14:schemeClr w14:val="tx1"/>
                  </w14:solidFill>
                </w14:textFill>
              </w:rPr>
              <w:t>150</w:t>
            </w:r>
            <w:r>
              <w:rPr>
                <w:rFonts w:hint="eastAsia"/>
                <w:color w:val="000000" w:themeColor="text1"/>
                <w:sz w:val="22"/>
                <w:szCs w:val="22"/>
                <w14:textFill>
                  <w14:solidFill>
                    <w14:schemeClr w14:val="tx1"/>
                  </w14:solidFill>
                </w14:textFill>
              </w:rPr>
              <w:t>万亩，优质苜蓿、燕麦草等</w:t>
            </w:r>
            <w:r>
              <w:rPr>
                <w:rFonts w:cs="Times New Roman"/>
                <w:color w:val="000000" w:themeColor="text1"/>
                <w:sz w:val="22"/>
                <w:szCs w:val="22"/>
                <w14:textFill>
                  <w14:solidFill>
                    <w14:schemeClr w14:val="tx1"/>
                  </w14:solidFill>
                </w14:textFill>
              </w:rPr>
              <w:t>30</w:t>
            </w:r>
            <w:r>
              <w:rPr>
                <w:rFonts w:hint="eastAsia"/>
                <w:color w:val="000000" w:themeColor="text1"/>
                <w:sz w:val="22"/>
                <w:szCs w:val="22"/>
                <w14:textFill>
                  <w14:solidFill>
                    <w14:schemeClr w14:val="tx1"/>
                  </w14:solidFill>
                </w14:textFill>
              </w:rPr>
              <w:t>万亩。</w:t>
            </w:r>
          </w:p>
        </w:tc>
        <w:tc>
          <w:tcPr>
            <w:tcW w:w="1534"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全市</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75000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二</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现代奶业绿色发展工程</w:t>
            </w:r>
          </w:p>
        </w:tc>
        <w:tc>
          <w:tcPr>
            <w:tcW w:w="7557" w:type="dxa"/>
            <w:tcBorders>
              <w:top w:val="nil"/>
              <w:left w:val="nil"/>
              <w:bottom w:val="single" w:color="auto" w:sz="4" w:space="0"/>
              <w:right w:val="single" w:color="auto" w:sz="4" w:space="0"/>
            </w:tcBorders>
            <w:shd w:val="clear" w:color="auto" w:fill="auto"/>
            <w:noWrap/>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　</w:t>
            </w:r>
          </w:p>
        </w:tc>
        <w:tc>
          <w:tcPr>
            <w:tcW w:w="1534"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　</w:t>
            </w:r>
          </w:p>
        </w:tc>
        <w:tc>
          <w:tcPr>
            <w:tcW w:w="2003"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eastAsia="楷体_GB2312" w:cs="Times New Roman"/>
                <w:b/>
                <w:bCs/>
                <w:color w:val="000000" w:themeColor="text1"/>
                <w:kern w:val="0"/>
                <w:sz w:val="22"/>
                <w:szCs w:val="22"/>
                <w14:textFill>
                  <w14:solidFill>
                    <w14:schemeClr w14:val="tx1"/>
                  </w14:solidFill>
                </w14:textFill>
              </w:rPr>
            </w:pPr>
            <w:r>
              <w:rPr>
                <w:rFonts w:eastAsia="等线" w:cs="Times New Roman"/>
                <w:b/>
                <w:bCs/>
                <w:color w:val="000000" w:themeColor="text1"/>
                <w:sz w:val="22"/>
                <w:szCs w:val="22"/>
                <w14:textFill>
                  <w14:solidFill>
                    <w14:schemeClr w14:val="tx1"/>
                  </w14:solidFill>
                </w14:textFill>
              </w:rPr>
              <w:t>46700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eastAsia="楷体_GB2312" w:cs="Times New Roman"/>
                <w:b/>
                <w:bCs/>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2.1</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动物疫病防控项目</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建立健全动物疫病监测网络，加强兽医系统实验室建设，改造提升疫病监测条件。构建动物疫病防控风险评估体系，强化动物疫情预警和动物疫病可追溯管理。实施兽医社会化服务推进工作，发挥资金引导作用，促进兽医社会化服务市场主体的发展。保障防疫物资储备充足，提升疫情应急处置能力。</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全市</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5000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eastAsia="楷体_GB2312" w:cs="Times New Roman"/>
                <w:b/>
                <w:bCs/>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2.2</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奶畜规模化养殖场粪污处理设施改造项目</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持续对全市规模奶牛和</w:t>
            </w:r>
            <w:r>
              <w:rPr>
                <w:rFonts w:cs="Times New Roman"/>
                <w:color w:val="000000" w:themeColor="text1"/>
                <w:sz w:val="22"/>
                <w:szCs w:val="22"/>
                <w14:textFill>
                  <w14:solidFill>
                    <w14:schemeClr w14:val="tx1"/>
                  </w14:solidFill>
                </w14:textFill>
              </w:rPr>
              <w:t xml:space="preserve"> </w:t>
            </w:r>
            <w:r>
              <w:rPr>
                <w:rFonts w:hint="eastAsia"/>
                <w:color w:val="000000" w:themeColor="text1"/>
                <w:sz w:val="22"/>
                <w:szCs w:val="22"/>
                <w14:textFill>
                  <w14:solidFill>
                    <w14:schemeClr w14:val="tx1"/>
                  </w14:solidFill>
                </w14:textFill>
              </w:rPr>
              <w:t>奶山羊养殖场开展养殖设施设备提升改造，建设节水设施和与粪污产生规模相匹配的粪污贮存、处理、利用设施，配套资源化利用粪肥运输车辆，在奶牛场推广沼气发酵、粪污全量还田等粪污利用方式，在奶羊养殖场推广舍内垫料收集</w:t>
            </w:r>
            <w:r>
              <w:rPr>
                <w:rFonts w:cs="Times New Roman"/>
                <w:color w:val="000000" w:themeColor="text1"/>
                <w:sz w:val="22"/>
                <w:szCs w:val="22"/>
                <w14:textFill>
                  <w14:solidFill>
                    <w14:schemeClr w14:val="tx1"/>
                  </w14:solidFill>
                </w14:textFill>
              </w:rPr>
              <w:t>-</w:t>
            </w:r>
            <w:r>
              <w:rPr>
                <w:rFonts w:hint="eastAsia"/>
                <w:color w:val="000000" w:themeColor="text1"/>
                <w:sz w:val="22"/>
                <w:szCs w:val="22"/>
                <w14:textFill>
                  <w14:solidFill>
                    <w14:schemeClr w14:val="tx1"/>
                  </w14:solidFill>
                </w14:textFill>
              </w:rPr>
              <w:t>高温堆肥还田利用方式。</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全市</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32000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eastAsia="楷体_GB2312" w:cs="Times New Roman"/>
                <w:b/>
                <w:bCs/>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2.3</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病死畜禽无害化处理项目</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在土默特左旗、和林格尔县、托克托县、赛罕区等奶牛养殖量大、有条件的旗县区，建设病死动物无害化处理中心。在全市范围内结合养殖量、养殖布局和动物死亡数量等因素，建设病死动物收集暂存站点，依托病死动物无害化处理企业进行集中处理。建立无害化处理监管信息系统，推动养殖场建设病死动物冷藏冷冻设施。</w:t>
            </w:r>
            <w:r>
              <w:rPr>
                <w:rFonts w:cs="Times New Roman"/>
                <w:color w:val="000000" w:themeColor="text1"/>
                <w:sz w:val="22"/>
                <w:szCs w:val="22"/>
                <w14:textFill>
                  <w14:solidFill>
                    <w14:schemeClr w14:val="tx1"/>
                  </w14:solidFill>
                </w14:textFill>
              </w:rPr>
              <w:t xml:space="preserve">       </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全市</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9700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三</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现代乳业全产业链集群建设重点工程</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　</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　</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eastAsia="等线" w:cs="Times New Roman"/>
                <w:b/>
                <w:bCs/>
                <w:color w:val="000000" w:themeColor="text1"/>
                <w:sz w:val="22"/>
                <w:szCs w:val="22"/>
                <w14:textFill>
                  <w14:solidFill>
                    <w14:schemeClr w14:val="tx1"/>
                  </w14:solidFill>
                </w14:textFill>
              </w:rPr>
              <w:t>403000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cs="Times New Roman"/>
                <w:color w:val="000000" w:themeColor="text1"/>
                <w:kern w:val="0"/>
                <w:sz w:val="22"/>
                <w:szCs w:val="22"/>
                <w14:textFill>
                  <w14:solidFill>
                    <w14:schemeClr w14:val="tx1"/>
                  </w14:solidFill>
                </w14:textFill>
              </w:rPr>
            </w:pPr>
            <w:bookmarkStart w:id="91" w:name="_Hlk61422090"/>
            <w:r>
              <w:rPr>
                <w:rFonts w:eastAsia="等线" w:cs="Times New Roman"/>
                <w:color w:val="000000" w:themeColor="text1"/>
                <w:sz w:val="22"/>
                <w:szCs w:val="22"/>
                <w14:textFill>
                  <w14:solidFill>
                    <w14:schemeClr w14:val="tx1"/>
                  </w14:solidFill>
                </w14:textFill>
              </w:rPr>
              <w:t>3.1</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蒙牛中国奶业产业园乳制品加工项目</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依托蒙牛中国奶业产业园，建设日产能</w:t>
            </w:r>
            <w:r>
              <w:rPr>
                <w:rFonts w:cs="Times New Roman"/>
                <w:color w:val="000000" w:themeColor="text1"/>
                <w:sz w:val="22"/>
                <w:szCs w:val="22"/>
                <w14:textFill>
                  <w14:solidFill>
                    <w14:schemeClr w14:val="tx1"/>
                  </w14:solidFill>
                </w14:textFill>
              </w:rPr>
              <w:t>800</w:t>
            </w:r>
            <w:r>
              <w:rPr>
                <w:rFonts w:hint="eastAsia"/>
                <w:color w:val="000000" w:themeColor="text1"/>
                <w:sz w:val="22"/>
                <w:szCs w:val="22"/>
                <w14:textFill>
                  <w14:solidFill>
                    <w14:schemeClr w14:val="tx1"/>
                  </w14:solidFill>
                </w14:textFill>
              </w:rPr>
              <w:t>吨的低温工厂，建设年产能</w:t>
            </w:r>
            <w:r>
              <w:rPr>
                <w:rFonts w:cs="Times New Roman"/>
                <w:color w:val="000000" w:themeColor="text1"/>
                <w:sz w:val="22"/>
                <w:szCs w:val="22"/>
                <w14:textFill>
                  <w14:solidFill>
                    <w14:schemeClr w14:val="tx1"/>
                  </w14:solidFill>
                </w14:textFill>
              </w:rPr>
              <w:t>3</w:t>
            </w:r>
            <w:r>
              <w:rPr>
                <w:rFonts w:hint="eastAsia"/>
                <w:color w:val="000000" w:themeColor="text1"/>
                <w:sz w:val="22"/>
                <w:szCs w:val="22"/>
                <w14:textFill>
                  <w14:solidFill>
                    <w14:schemeClr w14:val="tx1"/>
                  </w14:solidFill>
                </w14:textFill>
              </w:rPr>
              <w:t>万吨的奶酪工场，以及日产能</w:t>
            </w:r>
            <w:r>
              <w:rPr>
                <w:rFonts w:cs="Times New Roman"/>
                <w:color w:val="000000" w:themeColor="text1"/>
                <w:sz w:val="22"/>
                <w:szCs w:val="22"/>
                <w14:textFill>
                  <w14:solidFill>
                    <w14:schemeClr w14:val="tx1"/>
                  </w14:solidFill>
                </w14:textFill>
              </w:rPr>
              <w:t>500</w:t>
            </w:r>
            <w:r>
              <w:rPr>
                <w:rFonts w:hint="eastAsia"/>
                <w:color w:val="000000" w:themeColor="text1"/>
                <w:sz w:val="22"/>
                <w:szCs w:val="22"/>
                <w14:textFill>
                  <w14:solidFill>
                    <w14:schemeClr w14:val="tx1"/>
                  </w14:solidFill>
                </w14:textFill>
              </w:rPr>
              <w:t>吨的鲜奶工厂，建设奶酪生产线，开发干酪、奶片、乳粉等产品，探索开发民族乳制品产品。</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林格尔县</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190000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3.2</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伊利健康智慧谷智慧样板基地项目</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新建日处理原料奶</w:t>
            </w:r>
            <w:r>
              <w:rPr>
                <w:rFonts w:cs="Times New Roman"/>
                <w:color w:val="000000" w:themeColor="text1"/>
                <w:sz w:val="22"/>
                <w:szCs w:val="22"/>
                <w14:textFill>
                  <w14:solidFill>
                    <w14:schemeClr w14:val="tx1"/>
                  </w14:solidFill>
                </w14:textFill>
              </w:rPr>
              <w:t>6500</w:t>
            </w:r>
            <w:r>
              <w:rPr>
                <w:rFonts w:hint="eastAsia"/>
                <w:color w:val="000000" w:themeColor="text1"/>
                <w:sz w:val="22"/>
                <w:szCs w:val="22"/>
                <w14:textFill>
                  <w14:solidFill>
                    <w14:schemeClr w14:val="tx1"/>
                  </w14:solidFill>
                </w14:textFill>
              </w:rPr>
              <w:t>吨液态奶项目、年产</w:t>
            </w:r>
            <w:r>
              <w:rPr>
                <w:rFonts w:cs="Times New Roman"/>
                <w:color w:val="000000" w:themeColor="text1"/>
                <w:sz w:val="22"/>
                <w:szCs w:val="22"/>
                <w14:textFill>
                  <w14:solidFill>
                    <w14:schemeClr w14:val="tx1"/>
                  </w14:solidFill>
                </w14:textFill>
              </w:rPr>
              <w:t>6</w:t>
            </w:r>
            <w:r>
              <w:rPr>
                <w:rFonts w:hint="eastAsia"/>
                <w:color w:val="000000" w:themeColor="text1"/>
                <w:sz w:val="22"/>
                <w:szCs w:val="22"/>
                <w14:textFill>
                  <w14:solidFill>
                    <w14:schemeClr w14:val="tx1"/>
                  </w14:solidFill>
                </w14:textFill>
              </w:rPr>
              <w:t>万吨婴儿粉项目、年产</w:t>
            </w:r>
            <w:r>
              <w:rPr>
                <w:rFonts w:cs="Times New Roman"/>
                <w:color w:val="000000" w:themeColor="text1"/>
                <w:sz w:val="22"/>
                <w:szCs w:val="22"/>
                <w14:textFill>
                  <w14:solidFill>
                    <w14:schemeClr w14:val="tx1"/>
                  </w14:solidFill>
                </w14:textFill>
              </w:rPr>
              <w:t>16</w:t>
            </w:r>
            <w:r>
              <w:rPr>
                <w:rFonts w:hint="eastAsia"/>
                <w:color w:val="000000" w:themeColor="text1"/>
                <w:sz w:val="22"/>
                <w:szCs w:val="22"/>
                <w14:textFill>
                  <w14:solidFill>
                    <w14:schemeClr w14:val="tx1"/>
                  </w14:solidFill>
                </w14:textFill>
              </w:rPr>
              <w:t>万吨酸奶项目、年产</w:t>
            </w:r>
            <w:r>
              <w:rPr>
                <w:rFonts w:cs="Times New Roman"/>
                <w:color w:val="000000" w:themeColor="text1"/>
                <w:sz w:val="22"/>
                <w:szCs w:val="22"/>
                <w14:textFill>
                  <w14:solidFill>
                    <w14:schemeClr w14:val="tx1"/>
                  </w14:solidFill>
                </w14:textFill>
              </w:rPr>
              <w:t>5</w:t>
            </w:r>
            <w:r>
              <w:rPr>
                <w:rFonts w:hint="eastAsia"/>
                <w:color w:val="000000" w:themeColor="text1"/>
                <w:sz w:val="22"/>
                <w:szCs w:val="22"/>
                <w14:textFill>
                  <w14:solidFill>
                    <w14:schemeClr w14:val="tx1"/>
                  </w14:solidFill>
                </w14:textFill>
              </w:rPr>
              <w:t>万吨冰淇淋项目和奶酪项目。</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土默特左旗</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150000</w:t>
            </w:r>
          </w:p>
        </w:tc>
      </w:tr>
      <w:bookmarkEnd w:id="91"/>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3.3</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中小型乳制品企业重点提升工程</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实施民族特色奶食品加工标准化改造试点项目，打造出</w:t>
            </w:r>
            <w:r>
              <w:rPr>
                <w:rFonts w:cs="Times New Roman"/>
                <w:color w:val="000000" w:themeColor="text1"/>
                <w:sz w:val="22"/>
                <w:szCs w:val="22"/>
                <w14:textFill>
                  <w14:solidFill>
                    <w14:schemeClr w14:val="tx1"/>
                  </w14:solidFill>
                </w14:textFill>
              </w:rPr>
              <w:t>10</w:t>
            </w:r>
            <w:r>
              <w:rPr>
                <w:rFonts w:hint="eastAsia"/>
                <w:color w:val="000000" w:themeColor="text1"/>
                <w:sz w:val="22"/>
                <w:szCs w:val="22"/>
                <w14:textFill>
                  <w14:solidFill>
                    <w14:schemeClr w14:val="tx1"/>
                  </w14:solidFill>
                </w14:textFill>
              </w:rPr>
              <w:t>个中小民族乳制品企业标准化升级改造示范企业。依托泰利达、金山等乳业有限责任公司，鼓励中小企业引进先进生产技术及设备，新建一批特色民族乳制品生产线，培育一批中小型乳产品深加工领军企业。</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土默特左旗和林格尔县、赛罕区</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5000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3.4</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乳业冷链物流体系建设工程</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以蒙牛和伊利产业园为核心，建设物流仓储基地，基地新建</w:t>
            </w:r>
            <w:r>
              <w:rPr>
                <w:rFonts w:cs="Times New Roman"/>
                <w:color w:val="000000" w:themeColor="text1"/>
                <w:sz w:val="22"/>
                <w:szCs w:val="22"/>
                <w14:textFill>
                  <w14:solidFill>
                    <w14:schemeClr w14:val="tx1"/>
                  </w14:solidFill>
                </w14:textFill>
              </w:rPr>
              <w:t>20</w:t>
            </w:r>
            <w:r>
              <w:rPr>
                <w:rFonts w:hint="eastAsia"/>
                <w:color w:val="000000" w:themeColor="text1"/>
                <w:sz w:val="22"/>
                <w:szCs w:val="22"/>
                <w14:textFill>
                  <w14:solidFill>
                    <w14:schemeClr w14:val="tx1"/>
                  </w14:solidFill>
                </w14:textFill>
              </w:rPr>
              <w:t>万吨冷库。依托和林县、托克托县、清水河县、武川县四个国家级农村电子商务示范县，每个县新建</w:t>
            </w:r>
            <w:r>
              <w:rPr>
                <w:rFonts w:cs="Times New Roman"/>
                <w:color w:val="000000" w:themeColor="text1"/>
                <w:sz w:val="22"/>
                <w:szCs w:val="22"/>
                <w14:textFill>
                  <w14:solidFill>
                    <w14:schemeClr w14:val="tx1"/>
                  </w14:solidFill>
                </w14:textFill>
              </w:rPr>
              <w:t>1-2</w:t>
            </w:r>
            <w:r>
              <w:rPr>
                <w:rFonts w:hint="eastAsia"/>
                <w:color w:val="000000" w:themeColor="text1"/>
                <w:sz w:val="22"/>
                <w:szCs w:val="22"/>
                <w14:textFill>
                  <w14:solidFill>
                    <w14:schemeClr w14:val="tx1"/>
                  </w14:solidFill>
                </w14:textFill>
              </w:rPr>
              <w:t>个冷链物流中转站，形成“区物流集散中心</w:t>
            </w:r>
            <w:r>
              <w:rPr>
                <w:rFonts w:cs="Times New Roman"/>
                <w:color w:val="000000" w:themeColor="text1"/>
                <w:sz w:val="22"/>
                <w:szCs w:val="22"/>
                <w14:textFill>
                  <w14:solidFill>
                    <w14:schemeClr w14:val="tx1"/>
                  </w14:solidFill>
                </w14:textFill>
              </w:rPr>
              <w:t>+</w:t>
            </w:r>
            <w:r>
              <w:rPr>
                <w:rFonts w:hint="eastAsia"/>
                <w:color w:val="000000" w:themeColor="text1"/>
                <w:sz w:val="22"/>
                <w:szCs w:val="22"/>
                <w14:textFill>
                  <w14:solidFill>
                    <w14:schemeClr w14:val="tx1"/>
                  </w14:solidFill>
                </w14:textFill>
              </w:rPr>
              <w:t>街镇基地批发中心”的两级流通体系，并实现与北京、天津等目标市场大型物流园的对接。</w:t>
            </w:r>
            <w:r>
              <w:rPr>
                <w:rFonts w:cs="Times New Roman"/>
                <w:color w:val="000000" w:themeColor="text1"/>
                <w:sz w:val="22"/>
                <w:szCs w:val="22"/>
                <w14:textFill>
                  <w14:solidFill>
                    <w14:schemeClr w14:val="tx1"/>
                  </w14:solidFill>
                </w14:textFill>
              </w:rPr>
              <w:t> </w:t>
            </w:r>
            <w:r>
              <w:rPr>
                <w:rFonts w:hint="eastAsia"/>
                <w:color w:val="000000" w:themeColor="text1"/>
                <w:sz w:val="22"/>
                <w:szCs w:val="22"/>
                <w14:textFill>
                  <w14:solidFill>
                    <w14:schemeClr w14:val="tx1"/>
                  </w14:solidFill>
                </w14:textFill>
              </w:rPr>
              <w:t>到</w:t>
            </w:r>
            <w:r>
              <w:rPr>
                <w:rFonts w:cs="Times New Roman"/>
                <w:color w:val="000000" w:themeColor="text1"/>
                <w:sz w:val="22"/>
                <w:szCs w:val="22"/>
                <w14:textFill>
                  <w14:solidFill>
                    <w14:schemeClr w14:val="tx1"/>
                  </w14:solidFill>
                </w14:textFill>
              </w:rPr>
              <w:t>2025</w:t>
            </w:r>
            <w:r>
              <w:rPr>
                <w:rFonts w:hint="eastAsia"/>
                <w:color w:val="000000" w:themeColor="text1"/>
                <w:sz w:val="22"/>
                <w:szCs w:val="22"/>
                <w14:textFill>
                  <w14:solidFill>
                    <w14:schemeClr w14:val="tx1"/>
                  </w14:solidFill>
                </w14:textFill>
              </w:rPr>
              <w:t>年，冷链物流达到</w:t>
            </w:r>
            <w:r>
              <w:rPr>
                <w:rFonts w:cs="Times New Roman"/>
                <w:color w:val="000000" w:themeColor="text1"/>
                <w:sz w:val="22"/>
                <w:szCs w:val="22"/>
                <w14:textFill>
                  <w14:solidFill>
                    <w14:schemeClr w14:val="tx1"/>
                  </w14:solidFill>
                </w14:textFill>
              </w:rPr>
              <w:t>5</w:t>
            </w:r>
            <w:r>
              <w:rPr>
                <w:rFonts w:hint="eastAsia"/>
                <w:color w:val="000000" w:themeColor="text1"/>
                <w:sz w:val="22"/>
                <w:szCs w:val="22"/>
                <w14:textFill>
                  <w14:solidFill>
                    <w14:schemeClr w14:val="tx1"/>
                  </w14:solidFill>
                </w14:textFill>
              </w:rPr>
              <w:t>万吨</w:t>
            </w:r>
            <w:r>
              <w:rPr>
                <w:rFonts w:cs="Times New Roman"/>
                <w:color w:val="000000" w:themeColor="text1"/>
                <w:sz w:val="22"/>
                <w:szCs w:val="22"/>
                <w14:textFill>
                  <w14:solidFill>
                    <w14:schemeClr w14:val="tx1"/>
                  </w14:solidFill>
                </w14:textFill>
              </w:rPr>
              <w:t>/</w:t>
            </w:r>
            <w:r>
              <w:rPr>
                <w:rFonts w:hint="eastAsia"/>
                <w:color w:val="000000" w:themeColor="text1"/>
                <w:sz w:val="22"/>
                <w:szCs w:val="22"/>
                <w14:textFill>
                  <w14:solidFill>
                    <w14:schemeClr w14:val="tx1"/>
                  </w14:solidFill>
                </w14:textFill>
              </w:rPr>
              <w:t>天。</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冷库</w:t>
            </w:r>
            <w:r>
              <w:rPr>
                <w:rFonts w:cs="Times New Roman"/>
                <w:color w:val="000000" w:themeColor="text1"/>
                <w:sz w:val="22"/>
                <w:szCs w:val="22"/>
                <w14:textFill>
                  <w14:solidFill>
                    <w14:schemeClr w14:val="tx1"/>
                  </w14:solidFill>
                </w14:textFill>
              </w:rPr>
              <w:t>(</w:t>
            </w:r>
            <w:r>
              <w:rPr>
                <w:rFonts w:hint="eastAsia"/>
                <w:color w:val="000000" w:themeColor="text1"/>
                <w:sz w:val="22"/>
                <w:szCs w:val="22"/>
                <w14:textFill>
                  <w14:solidFill>
                    <w14:schemeClr w14:val="tx1"/>
                  </w14:solidFill>
                </w14:textFill>
              </w:rPr>
              <w:t>土默特左旗和林格尔县</w:t>
            </w:r>
            <w:r>
              <w:rPr>
                <w:rFonts w:cs="Times New Roman"/>
                <w:color w:val="000000" w:themeColor="text1"/>
                <w:sz w:val="22"/>
                <w:szCs w:val="22"/>
                <w14:textFill>
                  <w14:solidFill>
                    <w14:schemeClr w14:val="tx1"/>
                  </w14:solidFill>
                </w14:textFill>
              </w:rPr>
              <w:t xml:space="preserve">)   </w:t>
            </w:r>
            <w:r>
              <w:rPr>
                <w:rFonts w:hint="eastAsia"/>
                <w:color w:val="000000" w:themeColor="text1"/>
                <w:sz w:val="22"/>
                <w:szCs w:val="22"/>
                <w14:textFill>
                  <w14:solidFill>
                    <w14:schemeClr w14:val="tx1"/>
                  </w14:solidFill>
                </w14:textFill>
              </w:rPr>
              <w:t>物流中转站（全市）</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20000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3.5</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兽药饲料生产加工企业培育工程</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以金宇保灵、必威安泰、齐鲁制药等兽药、动物疫苗企业为依托，开展科技攻关，研发口蹄疫、布鲁氏菌病、牛结节性皮肤病等重点动物疫病疫苗及诊断制品以及新型兽药产品。依托内蒙古牧泉元兴饲料公司、内蒙古蒙泰大地生物技术发展有限责任公司、博瑞饲料等企业，建设兽药饲料加工产业集群，鼓励研发添加中草药、植物提取物态制剂、酶制剂等各类生物保健添加剂的复合预混料、反刍动物精料补充料、浓缩饲料。</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和林格尔县、武川县、赛罕区、托克托县、清水河县</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8000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3.6</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草原和乳业文化休闲体验工程</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依托伊利、蒙牛工业旅游、和林县子昂牧场、敕勒川精品奶源基地等休闲观光牧场打造集乳制品宣传、休闲、度假等功能于一体的休闲体验点</w:t>
            </w:r>
            <w:r>
              <w:rPr>
                <w:rFonts w:cs="Times New Roman"/>
                <w:color w:val="000000" w:themeColor="text1"/>
                <w:sz w:val="22"/>
                <w:szCs w:val="22"/>
                <w14:textFill>
                  <w14:solidFill>
                    <w14:schemeClr w14:val="tx1"/>
                  </w14:solidFill>
                </w14:textFill>
              </w:rPr>
              <w:t>10</w:t>
            </w:r>
            <w:r>
              <w:rPr>
                <w:rFonts w:hint="eastAsia"/>
                <w:color w:val="000000" w:themeColor="text1"/>
                <w:sz w:val="22"/>
                <w:szCs w:val="22"/>
                <w14:textFill>
                  <w14:solidFill>
                    <w14:schemeClr w14:val="tx1"/>
                  </w14:solidFill>
                </w14:textFill>
              </w:rPr>
              <w:t>个，以呼和浩特市特有的草原及乳业等为核心，重点打造乳产品生产观光旅游，谋划筹办与畜牧相关的度假旅游节庆等项目。</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土默特左旗、林格尔县、</w:t>
            </w:r>
            <w:r>
              <w:rPr>
                <w:rFonts w:cs="Times New Roman"/>
                <w:color w:val="000000" w:themeColor="text1"/>
                <w:sz w:val="22"/>
                <w:szCs w:val="22"/>
                <w14:textFill>
                  <w14:solidFill>
                    <w14:schemeClr w14:val="tx1"/>
                  </w14:solidFill>
                </w14:textFill>
              </w:rPr>
              <w:t xml:space="preserve"> </w:t>
            </w:r>
            <w:r>
              <w:rPr>
                <w:rFonts w:hint="eastAsia"/>
                <w:color w:val="000000" w:themeColor="text1"/>
                <w:sz w:val="22"/>
                <w:szCs w:val="22"/>
                <w14:textFill>
                  <w14:solidFill>
                    <w14:schemeClr w14:val="tx1"/>
                  </w14:solidFill>
                </w14:textFill>
              </w:rPr>
              <w:t>赛罕区</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30000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四</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国家乳业科技创新建设工程</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　</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　</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eastAsia="等线" w:cs="Times New Roman"/>
                <w:b/>
                <w:bCs/>
                <w:color w:val="000000" w:themeColor="text1"/>
                <w:sz w:val="22"/>
                <w:szCs w:val="22"/>
                <w14:textFill>
                  <w14:solidFill>
                    <w14:schemeClr w14:val="tx1"/>
                  </w14:solidFill>
                </w14:textFill>
              </w:rPr>
              <w:t>11812</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4.1</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国家乳业科技创新中心建设项目</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内蒙古乳业技术研究院牵头，发挥伊利奶科院牛、蒙牛奶业研究院、盛健奶山羊研究院、赛科星奶牛育种研究中心等平台作用，建设乳业全产业链研究中心，强化乳业科技创新能力。包括奶牛繁育与养殖技术研究、乳品营养与健康研究、乳业工艺技术与装备研究、乳品安全与品质研究。 </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土默特左旗、和林格尔县</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8000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color w:val="000000" w:themeColor="text1"/>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4.2</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全球乳业人才培训中心项目</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围绕奶源基地建设、乳制品加工流通、乳品质量安全以及消费引导等全产业链发展实际需求，开展培训。每年开展奶业从业人员培训</w:t>
            </w:r>
            <w:r>
              <w:rPr>
                <w:rFonts w:cs="Times New Roman"/>
                <w:color w:val="000000" w:themeColor="text1"/>
                <w:sz w:val="22"/>
                <w:szCs w:val="22"/>
                <w14:textFill>
                  <w14:solidFill>
                    <w14:schemeClr w14:val="tx1"/>
                  </w14:solidFill>
                </w14:textFill>
              </w:rPr>
              <w:t>2000</w:t>
            </w:r>
            <w:r>
              <w:rPr>
                <w:rFonts w:hint="eastAsia"/>
                <w:color w:val="000000" w:themeColor="text1"/>
                <w:sz w:val="22"/>
                <w:szCs w:val="22"/>
                <w14:textFill>
                  <w14:solidFill>
                    <w14:schemeClr w14:val="tx1"/>
                  </w14:solidFill>
                </w14:textFill>
              </w:rPr>
              <w:t>人次，有力支撑奶业高质量发展。</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和林格尔</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color w:val="000000" w:themeColor="text1"/>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3612</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4.3</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国家技术标准基地（乳业）项目</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促进企业间成果转化和应用联合乳品行业领域相关的科研院所、行业组织、大中院校、企业等单位及专家，推进乳业科技成果创新，打造乳业全产业链的标准孵化器和标准创新服务平台。</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和林格尔</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200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五</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支撑保障体系建设工程</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　</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　</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eastAsia="等线" w:cs="Times New Roman"/>
                <w:b/>
                <w:bCs/>
                <w:color w:val="000000" w:themeColor="text1"/>
                <w:sz w:val="22"/>
                <w:szCs w:val="22"/>
                <w14:textFill>
                  <w14:solidFill>
                    <w14:schemeClr w14:val="tx1"/>
                  </w14:solidFill>
                </w14:textFill>
              </w:rPr>
              <w:t>185000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5.1</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蒙牛乳业质量研发中心建设项目</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bookmarkStart w:id="92" w:name="RANGE!C25"/>
            <w:r>
              <w:rPr>
                <w:rFonts w:hint="eastAsia"/>
                <w:color w:val="000000" w:themeColor="text1"/>
                <w:sz w:val="22"/>
                <w:szCs w:val="22"/>
                <w14:textFill>
                  <w14:solidFill>
                    <w14:schemeClr w14:val="tx1"/>
                  </w14:solidFill>
                </w14:textFill>
              </w:rPr>
              <w:t>建设国家乳及乳制品质量监督检测中心、乳品试验基地、乳品营养科研基地等中心，打造全国先进一流的质量研发中心。</w:t>
            </w:r>
            <w:bookmarkEnd w:id="92"/>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和林格尔县、土默特左旗</w:t>
            </w:r>
          </w:p>
        </w:tc>
        <w:tc>
          <w:tcPr>
            <w:tcW w:w="2003"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178000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5.2</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乳制品质量安全监管体系建设项目</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加强乳品检验能力建设，建立乳业生产全程的质量监控制度以及生鲜乳质量安全管理认证和质量追溯体系建设。支持建立生鲜乳收购第三方质量检测中心，支持乳品企业和有条件的奶牛养殖场自建乳品检验检测体系。</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和林格尔县、土默特左旗</w:t>
            </w:r>
          </w:p>
        </w:tc>
        <w:tc>
          <w:tcPr>
            <w:tcW w:w="2003"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5.3</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全球乳产业大数据中心项目</w:t>
            </w:r>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依托伊利、蒙牛、盛健等龙头企业，开展全球乳产业大数据基地建设，购置服务器平台，开发大数据储存和管理软件系统，将互联网及大数据分析技术贯通于养殖、研发、生产、流通、消费等全产业链，实现与消费者的全方位互动，更好地满足消费者的差异化需求。</w:t>
            </w:r>
          </w:p>
        </w:tc>
        <w:tc>
          <w:tcPr>
            <w:tcW w:w="1534" w:type="dxa"/>
            <w:tcBorders>
              <w:top w:val="nil"/>
              <w:left w:val="nil"/>
              <w:bottom w:val="single" w:color="auto" w:sz="4" w:space="0"/>
              <w:right w:val="single" w:color="auto" w:sz="4" w:space="0"/>
            </w:tcBorders>
            <w:shd w:val="clear" w:color="auto" w:fill="auto"/>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土默特左旗</w:t>
            </w:r>
          </w:p>
        </w:tc>
        <w:tc>
          <w:tcPr>
            <w:tcW w:w="2003"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3000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5.4</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bookmarkStart w:id="93" w:name="RANGE!B28"/>
            <w:r>
              <w:rPr>
                <w:rFonts w:hint="eastAsia"/>
                <w:color w:val="000000" w:themeColor="text1"/>
                <w:sz w:val="22"/>
                <w:szCs w:val="22"/>
                <w14:textFill>
                  <w14:solidFill>
                    <w14:schemeClr w14:val="tx1"/>
                  </w14:solidFill>
                </w14:textFill>
              </w:rPr>
              <w:t>全球乳业综合交易平台项目</w:t>
            </w:r>
            <w:bookmarkEnd w:id="93"/>
          </w:p>
        </w:tc>
        <w:tc>
          <w:tcPr>
            <w:tcW w:w="7557"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依托伊利、蒙牛等龙头企业及旗下产业互联网平台打造集买卖交易、融资支付、物流配送等多功能的综合性交易平台。</w:t>
            </w:r>
          </w:p>
        </w:tc>
        <w:tc>
          <w:tcPr>
            <w:tcW w:w="1534"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hint="eastAsia"/>
                <w:color w:val="000000" w:themeColor="text1"/>
                <w:sz w:val="22"/>
                <w:szCs w:val="22"/>
                <w:highlight w:val="yellow"/>
                <w14:textFill>
                  <w14:solidFill>
                    <w14:schemeClr w14:val="tx1"/>
                  </w14:solidFill>
                </w14:textFill>
              </w:rPr>
              <w:t>和林格尔县、土默特左旗</w:t>
            </w:r>
          </w:p>
        </w:tc>
        <w:tc>
          <w:tcPr>
            <w:tcW w:w="2003"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cs="Times New Roman"/>
                <w:color w:val="000000" w:themeColor="text1"/>
                <w:kern w:val="0"/>
                <w:sz w:val="22"/>
                <w:szCs w:val="22"/>
                <w14:textFill>
                  <w14:solidFill>
                    <w14:schemeClr w14:val="tx1"/>
                  </w14:solidFill>
                </w14:textFill>
              </w:rPr>
            </w:pPr>
            <w:r>
              <w:rPr>
                <w:rFonts w:eastAsia="等线" w:cs="Times New Roman"/>
                <w:color w:val="000000" w:themeColor="text1"/>
                <w:sz w:val="22"/>
                <w:szCs w:val="22"/>
                <w14:textFill>
                  <w14:solidFill>
                    <w14:schemeClr w14:val="tx1"/>
                  </w14:solidFill>
                </w14:textFill>
              </w:rPr>
              <w:t>1000</w:t>
            </w:r>
          </w:p>
        </w:tc>
      </w:tr>
      <w:tr>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　</w:t>
            </w:r>
          </w:p>
        </w:tc>
        <w:tc>
          <w:tcPr>
            <w:tcW w:w="213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合计</w:t>
            </w:r>
          </w:p>
        </w:tc>
        <w:tc>
          <w:tcPr>
            <w:tcW w:w="7557" w:type="dxa"/>
            <w:tcBorders>
              <w:top w:val="nil"/>
              <w:left w:val="nil"/>
              <w:bottom w:val="single" w:color="auto" w:sz="4" w:space="0"/>
              <w:right w:val="single" w:color="auto" w:sz="4" w:space="0"/>
            </w:tcBorders>
            <w:shd w:val="clear" w:color="auto" w:fill="auto"/>
            <w:noWrap/>
            <w:vAlign w:val="center"/>
          </w:tcPr>
          <w:p>
            <w:pPr>
              <w:widowControl/>
              <w:ind w:firstLine="0" w:firstLineChars="0"/>
              <w:jc w:val="left"/>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　</w:t>
            </w:r>
          </w:p>
        </w:tc>
        <w:tc>
          <w:tcPr>
            <w:tcW w:w="1534"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　</w:t>
            </w:r>
          </w:p>
        </w:tc>
        <w:tc>
          <w:tcPr>
            <w:tcW w:w="2003"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cs="Times New Roman"/>
                <w:b/>
                <w:bCs/>
                <w:color w:val="000000" w:themeColor="text1"/>
                <w:kern w:val="0"/>
                <w:sz w:val="22"/>
                <w:szCs w:val="22"/>
                <w14:textFill>
                  <w14:solidFill>
                    <w14:schemeClr w14:val="tx1"/>
                  </w14:solidFill>
                </w14:textFill>
              </w:rPr>
            </w:pPr>
            <w:r>
              <w:rPr>
                <w:rFonts w:eastAsia="等线" w:cs="Times New Roman"/>
                <w:b/>
                <w:bCs/>
                <w:color w:val="000000" w:themeColor="text1"/>
                <w:sz w:val="22"/>
                <w:szCs w:val="22"/>
                <w14:textFill>
                  <w14:solidFill>
                    <w14:schemeClr w14:val="tx1"/>
                  </w14:solidFill>
                </w14:textFill>
              </w:rPr>
              <w:t>1781512</w:t>
            </w:r>
          </w:p>
        </w:tc>
      </w:tr>
    </w:tbl>
    <w:p>
      <w:pPr>
        <w:ind w:firstLine="560"/>
        <w:rPr>
          <w:color w:val="000000" w:themeColor="text1"/>
          <w14:textFill>
            <w14:solidFill>
              <w14:schemeClr w14:val="tx1"/>
            </w14:solidFill>
          </w14:textFill>
        </w:rPr>
      </w:pPr>
    </w:p>
    <w:sectPr>
      <w:pgSz w:w="16838" w:h="11906" w:orient="landscape"/>
      <w:pgMar w:top="1797" w:right="1440" w:bottom="1797"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w:altName w:val="Good Times"/>
    <w:panose1 w:val="02020603050405020304"/>
    <w:charset w:val="00"/>
    <w:family w:val="roman"/>
    <w:pitch w:val="default"/>
    <w:sig w:usb0="00000000" w:usb1="00000000" w:usb2="00000009" w:usb3="00000000" w:csb0="000001FF" w:csb1="00000000"/>
  </w:font>
  <w:font w:name="Good Times">
    <w:panose1 w:val="00000400000000000000"/>
    <w:charset w:val="00"/>
    <w:family w:val="auto"/>
    <w:pitch w:val="default"/>
    <w:sig w:usb0="00000003"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fldChar w:fldCharType="begin"/>
    </w:r>
    <w:r>
      <w:instrText xml:space="preserve">PAGE   \* MERGEFORMAT</w:instrText>
    </w:r>
    <w:r>
      <w:fldChar w:fldCharType="separate"/>
    </w:r>
    <w:r>
      <w:rPr>
        <w:lang w:val="zh-CN"/>
      </w:rPr>
      <w:t>IV</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fldChar w:fldCharType="begin"/>
    </w:r>
    <w:r>
      <w:instrText xml:space="preserve">PAGE   \* MERGEFORMAT</w:instrText>
    </w:r>
    <w:r>
      <w:fldChar w:fldCharType="separate"/>
    </w:r>
    <w:r>
      <w:rPr>
        <w:lang w:val="zh-CN"/>
      </w:rPr>
      <w:t>76</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21845"/>
    <w:multiLevelType w:val="multilevel"/>
    <w:tmpl w:val="5AC21845"/>
    <w:lvl w:ilvl="0" w:tentative="0">
      <w:start w:val="1"/>
      <w:numFmt w:val="decimal"/>
      <w:pStyle w:val="2"/>
      <w:suff w:val="space"/>
      <w:lvlText w:val="第%1章"/>
      <w:lvlJc w:val="left"/>
      <w:pPr>
        <w:ind w:left="432" w:hanging="432"/>
      </w:pPr>
      <w:rPr>
        <w:rFonts w:hint="default" w:ascii="Times New Roman" w:hAnsi="Times New Roman" w:eastAsia="宋体"/>
        <w:b/>
        <w:i w:val="0"/>
        <w:sz w:val="44"/>
      </w:rPr>
    </w:lvl>
    <w:lvl w:ilvl="1" w:tentative="0">
      <w:start w:val="1"/>
      <w:numFmt w:val="decimal"/>
      <w:pStyle w:val="3"/>
      <w:suff w:val="space"/>
      <w:lvlText w:val="%1.%2"/>
      <w:lvlJc w:val="left"/>
      <w:pPr>
        <w:ind w:left="403" w:hanging="3"/>
      </w:pPr>
      <w:rPr>
        <w:rFonts w:hint="eastAsia" w:ascii="Times New Roman" w:hAnsi="Times New Roman" w:cs="Times New Roman"/>
        <w:i w:val="0"/>
        <w:iCs w:val="0"/>
        <w:caps w:val="0"/>
        <w:smallCaps w:val="0"/>
        <w:strike w:val="0"/>
        <w:dstrike w:val="0"/>
        <w:vanish w:val="0"/>
        <w:color w:val="000000"/>
        <w:spacing w:val="0"/>
        <w:kern w:val="0"/>
        <w:position w:val="0"/>
        <w:u w:val="none"/>
        <w:vertAlign w:val="baseline"/>
      </w:rPr>
    </w:lvl>
    <w:lvl w:ilvl="2" w:tentative="0">
      <w:start w:val="1"/>
      <w:numFmt w:val="decimal"/>
      <w:pStyle w:val="4"/>
      <w:suff w:val="space"/>
      <w:lvlText w:val="%1.%2.%3"/>
      <w:lvlJc w:val="left"/>
      <w:pPr>
        <w:ind w:left="0" w:firstLine="400"/>
      </w:pPr>
      <w:rPr>
        <w:rFonts w:hint="eastAsia" w:ascii="Times New Roman" w:hAnsi="Times New Roman" w:cs="Times New Roman"/>
        <w:i w:val="0"/>
        <w:iCs w:val="0"/>
        <w:caps w:val="0"/>
        <w:smallCaps w:val="0"/>
        <w:strike w:val="0"/>
        <w:dstrike w:val="0"/>
        <w:vanish w:val="0"/>
        <w:color w:val="000000"/>
        <w:spacing w:val="0"/>
        <w:kern w:val="0"/>
        <w:position w:val="0"/>
        <w:u w:val="none"/>
        <w:vertAlign w:val="baseline"/>
      </w:rPr>
    </w:lvl>
    <w:lvl w:ilvl="3" w:tentative="0">
      <w:start w:val="1"/>
      <w:numFmt w:val="decimal"/>
      <w:pStyle w:val="5"/>
      <w:suff w:val="space"/>
      <w:lvlText w:val="%1.%2.%3.%4"/>
      <w:lvlJc w:val="left"/>
      <w:pPr>
        <w:ind w:left="864" w:hanging="864"/>
      </w:pPr>
      <w:rPr>
        <w:rFonts w:hint="eastAsia" w:ascii="Times New Roman" w:hAnsi="Times New Roman" w:cs="Times New Roman"/>
        <w:i w:val="0"/>
        <w:iCs w:val="0"/>
        <w:caps w:val="0"/>
        <w:smallCaps w:val="0"/>
        <w:strike w:val="0"/>
        <w:dstrike w:val="0"/>
        <w:vanish w:val="0"/>
        <w:color w:val="000000"/>
        <w:spacing w:val="0"/>
        <w:position w:val="0"/>
        <w:u w:val="none"/>
        <w:vertAlign w:val="baseline"/>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
    <w:nsid w:val="74B47746"/>
    <w:multiLevelType w:val="multilevel"/>
    <w:tmpl w:val="74B47746"/>
    <w:lvl w:ilvl="0" w:tentative="0">
      <w:start w:val="1"/>
      <w:numFmt w:val="decimal"/>
      <w:suff w:val="nothing"/>
      <w:lvlText w:val="[%1] "/>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3CF"/>
    <w:rsid w:val="00000442"/>
    <w:rsid w:val="000004F2"/>
    <w:rsid w:val="000008AE"/>
    <w:rsid w:val="00000B28"/>
    <w:rsid w:val="00000D9F"/>
    <w:rsid w:val="00000DB4"/>
    <w:rsid w:val="00001593"/>
    <w:rsid w:val="00002619"/>
    <w:rsid w:val="0000270C"/>
    <w:rsid w:val="000036C0"/>
    <w:rsid w:val="000041EC"/>
    <w:rsid w:val="00005066"/>
    <w:rsid w:val="00005270"/>
    <w:rsid w:val="00005BA8"/>
    <w:rsid w:val="00006197"/>
    <w:rsid w:val="000061DE"/>
    <w:rsid w:val="0000630F"/>
    <w:rsid w:val="00006E1C"/>
    <w:rsid w:val="000070A2"/>
    <w:rsid w:val="0000790F"/>
    <w:rsid w:val="00007A32"/>
    <w:rsid w:val="00007C95"/>
    <w:rsid w:val="00007E0B"/>
    <w:rsid w:val="00007FF9"/>
    <w:rsid w:val="00010958"/>
    <w:rsid w:val="00010F7A"/>
    <w:rsid w:val="00011896"/>
    <w:rsid w:val="0001297A"/>
    <w:rsid w:val="00012B2E"/>
    <w:rsid w:val="00012BD2"/>
    <w:rsid w:val="00012DF2"/>
    <w:rsid w:val="00013436"/>
    <w:rsid w:val="000135D1"/>
    <w:rsid w:val="00013AA9"/>
    <w:rsid w:val="0001422B"/>
    <w:rsid w:val="00014401"/>
    <w:rsid w:val="00014CB5"/>
    <w:rsid w:val="000151D7"/>
    <w:rsid w:val="000154AF"/>
    <w:rsid w:val="0001550D"/>
    <w:rsid w:val="000155D9"/>
    <w:rsid w:val="00015A92"/>
    <w:rsid w:val="00015EB4"/>
    <w:rsid w:val="00016562"/>
    <w:rsid w:val="000167AE"/>
    <w:rsid w:val="00016EA8"/>
    <w:rsid w:val="000174DB"/>
    <w:rsid w:val="000177A6"/>
    <w:rsid w:val="00017A0A"/>
    <w:rsid w:val="00017C16"/>
    <w:rsid w:val="00017C53"/>
    <w:rsid w:val="00020B6E"/>
    <w:rsid w:val="00020C92"/>
    <w:rsid w:val="0002250C"/>
    <w:rsid w:val="000228E9"/>
    <w:rsid w:val="00023C4A"/>
    <w:rsid w:val="00023E7C"/>
    <w:rsid w:val="0002465C"/>
    <w:rsid w:val="000247B6"/>
    <w:rsid w:val="00024B58"/>
    <w:rsid w:val="00024EB4"/>
    <w:rsid w:val="00024F91"/>
    <w:rsid w:val="00025594"/>
    <w:rsid w:val="00025C8B"/>
    <w:rsid w:val="00025F75"/>
    <w:rsid w:val="000260FB"/>
    <w:rsid w:val="0002611C"/>
    <w:rsid w:val="00026A5F"/>
    <w:rsid w:val="00026F1E"/>
    <w:rsid w:val="000273BC"/>
    <w:rsid w:val="00027428"/>
    <w:rsid w:val="00027D26"/>
    <w:rsid w:val="0003005A"/>
    <w:rsid w:val="000302E0"/>
    <w:rsid w:val="00030321"/>
    <w:rsid w:val="000308A1"/>
    <w:rsid w:val="00030987"/>
    <w:rsid w:val="000314CD"/>
    <w:rsid w:val="00031523"/>
    <w:rsid w:val="00031673"/>
    <w:rsid w:val="00032396"/>
    <w:rsid w:val="000324AE"/>
    <w:rsid w:val="00032905"/>
    <w:rsid w:val="00033045"/>
    <w:rsid w:val="00033223"/>
    <w:rsid w:val="0003340F"/>
    <w:rsid w:val="00033648"/>
    <w:rsid w:val="00033D60"/>
    <w:rsid w:val="0003490D"/>
    <w:rsid w:val="00035027"/>
    <w:rsid w:val="000350AB"/>
    <w:rsid w:val="00035136"/>
    <w:rsid w:val="0003518C"/>
    <w:rsid w:val="000356AF"/>
    <w:rsid w:val="0003575F"/>
    <w:rsid w:val="0003616F"/>
    <w:rsid w:val="00036548"/>
    <w:rsid w:val="0003677B"/>
    <w:rsid w:val="00036F3E"/>
    <w:rsid w:val="0003732E"/>
    <w:rsid w:val="000374E1"/>
    <w:rsid w:val="00040EB8"/>
    <w:rsid w:val="00041334"/>
    <w:rsid w:val="00041C32"/>
    <w:rsid w:val="00042297"/>
    <w:rsid w:val="00042D6E"/>
    <w:rsid w:val="000433A6"/>
    <w:rsid w:val="00043780"/>
    <w:rsid w:val="00043843"/>
    <w:rsid w:val="00044B30"/>
    <w:rsid w:val="00045F77"/>
    <w:rsid w:val="000464BE"/>
    <w:rsid w:val="000474C8"/>
    <w:rsid w:val="0004765B"/>
    <w:rsid w:val="0004793F"/>
    <w:rsid w:val="000479DD"/>
    <w:rsid w:val="00047FE3"/>
    <w:rsid w:val="000500CC"/>
    <w:rsid w:val="00050347"/>
    <w:rsid w:val="00050C8A"/>
    <w:rsid w:val="000510EF"/>
    <w:rsid w:val="000513F9"/>
    <w:rsid w:val="00051495"/>
    <w:rsid w:val="000515F6"/>
    <w:rsid w:val="0005167C"/>
    <w:rsid w:val="00051BE1"/>
    <w:rsid w:val="00052014"/>
    <w:rsid w:val="00052198"/>
    <w:rsid w:val="00052910"/>
    <w:rsid w:val="00052CAF"/>
    <w:rsid w:val="00052D33"/>
    <w:rsid w:val="0005321D"/>
    <w:rsid w:val="000533DB"/>
    <w:rsid w:val="000534BE"/>
    <w:rsid w:val="00053519"/>
    <w:rsid w:val="000537F8"/>
    <w:rsid w:val="0005399D"/>
    <w:rsid w:val="00053A78"/>
    <w:rsid w:val="00053EF8"/>
    <w:rsid w:val="000542B7"/>
    <w:rsid w:val="0005439C"/>
    <w:rsid w:val="000545E6"/>
    <w:rsid w:val="00054A9A"/>
    <w:rsid w:val="00054B16"/>
    <w:rsid w:val="00054EB2"/>
    <w:rsid w:val="00055269"/>
    <w:rsid w:val="000553FA"/>
    <w:rsid w:val="00055933"/>
    <w:rsid w:val="00055975"/>
    <w:rsid w:val="0005598D"/>
    <w:rsid w:val="00055FA0"/>
    <w:rsid w:val="000563A8"/>
    <w:rsid w:val="000564FF"/>
    <w:rsid w:val="00056758"/>
    <w:rsid w:val="0005682C"/>
    <w:rsid w:val="00056E79"/>
    <w:rsid w:val="0005774E"/>
    <w:rsid w:val="000577CA"/>
    <w:rsid w:val="00060042"/>
    <w:rsid w:val="00060C99"/>
    <w:rsid w:val="00061309"/>
    <w:rsid w:val="00061455"/>
    <w:rsid w:val="0006155F"/>
    <w:rsid w:val="00061C86"/>
    <w:rsid w:val="0006210E"/>
    <w:rsid w:val="00062384"/>
    <w:rsid w:val="00062BAB"/>
    <w:rsid w:val="00062BEE"/>
    <w:rsid w:val="000631C8"/>
    <w:rsid w:val="000634DE"/>
    <w:rsid w:val="00063785"/>
    <w:rsid w:val="00063D75"/>
    <w:rsid w:val="00063EAC"/>
    <w:rsid w:val="00063F2F"/>
    <w:rsid w:val="000643C5"/>
    <w:rsid w:val="000646FA"/>
    <w:rsid w:val="0006479D"/>
    <w:rsid w:val="00064827"/>
    <w:rsid w:val="00064FEF"/>
    <w:rsid w:val="000651E0"/>
    <w:rsid w:val="0006541F"/>
    <w:rsid w:val="000658B2"/>
    <w:rsid w:val="00065C10"/>
    <w:rsid w:val="00066D43"/>
    <w:rsid w:val="00067AF5"/>
    <w:rsid w:val="00067C4A"/>
    <w:rsid w:val="00067DC7"/>
    <w:rsid w:val="00070238"/>
    <w:rsid w:val="00070352"/>
    <w:rsid w:val="00070A5D"/>
    <w:rsid w:val="00070CAF"/>
    <w:rsid w:val="00071014"/>
    <w:rsid w:val="00071656"/>
    <w:rsid w:val="00072A00"/>
    <w:rsid w:val="0007311D"/>
    <w:rsid w:val="0007313A"/>
    <w:rsid w:val="0007353C"/>
    <w:rsid w:val="00073AF6"/>
    <w:rsid w:val="00073B99"/>
    <w:rsid w:val="00073C38"/>
    <w:rsid w:val="00073F67"/>
    <w:rsid w:val="000742CB"/>
    <w:rsid w:val="00074558"/>
    <w:rsid w:val="000748E6"/>
    <w:rsid w:val="00074910"/>
    <w:rsid w:val="00074B77"/>
    <w:rsid w:val="00074B9F"/>
    <w:rsid w:val="00075438"/>
    <w:rsid w:val="00075563"/>
    <w:rsid w:val="000755C3"/>
    <w:rsid w:val="0007562E"/>
    <w:rsid w:val="000758D4"/>
    <w:rsid w:val="00075A67"/>
    <w:rsid w:val="00075AE3"/>
    <w:rsid w:val="00075D49"/>
    <w:rsid w:val="00075FA6"/>
    <w:rsid w:val="000765EB"/>
    <w:rsid w:val="0007671B"/>
    <w:rsid w:val="000769E1"/>
    <w:rsid w:val="00076E6A"/>
    <w:rsid w:val="000773CE"/>
    <w:rsid w:val="00077411"/>
    <w:rsid w:val="00077425"/>
    <w:rsid w:val="000776DF"/>
    <w:rsid w:val="00077DC4"/>
    <w:rsid w:val="00080089"/>
    <w:rsid w:val="00080659"/>
    <w:rsid w:val="00080940"/>
    <w:rsid w:val="00080E29"/>
    <w:rsid w:val="000816B5"/>
    <w:rsid w:val="00081A26"/>
    <w:rsid w:val="00081AE1"/>
    <w:rsid w:val="00081B6A"/>
    <w:rsid w:val="00081F80"/>
    <w:rsid w:val="00082B05"/>
    <w:rsid w:val="00082F56"/>
    <w:rsid w:val="00083C9E"/>
    <w:rsid w:val="00083FE2"/>
    <w:rsid w:val="000840AC"/>
    <w:rsid w:val="00085210"/>
    <w:rsid w:val="000852D8"/>
    <w:rsid w:val="000858EB"/>
    <w:rsid w:val="0008597A"/>
    <w:rsid w:val="00085E84"/>
    <w:rsid w:val="00085F20"/>
    <w:rsid w:val="00086126"/>
    <w:rsid w:val="00086461"/>
    <w:rsid w:val="00086507"/>
    <w:rsid w:val="00086568"/>
    <w:rsid w:val="00086D32"/>
    <w:rsid w:val="00086DD4"/>
    <w:rsid w:val="0008714A"/>
    <w:rsid w:val="000873DE"/>
    <w:rsid w:val="000876DF"/>
    <w:rsid w:val="00087AF0"/>
    <w:rsid w:val="00087B0F"/>
    <w:rsid w:val="00090DB9"/>
    <w:rsid w:val="00090F1C"/>
    <w:rsid w:val="000924F0"/>
    <w:rsid w:val="00092AFA"/>
    <w:rsid w:val="00092C17"/>
    <w:rsid w:val="0009338F"/>
    <w:rsid w:val="000936F9"/>
    <w:rsid w:val="000937B7"/>
    <w:rsid w:val="000938BF"/>
    <w:rsid w:val="000939D8"/>
    <w:rsid w:val="000949D9"/>
    <w:rsid w:val="000951AE"/>
    <w:rsid w:val="000952D6"/>
    <w:rsid w:val="00095A22"/>
    <w:rsid w:val="00095B8F"/>
    <w:rsid w:val="00095D38"/>
    <w:rsid w:val="000965BA"/>
    <w:rsid w:val="00096648"/>
    <w:rsid w:val="0009675E"/>
    <w:rsid w:val="00097CD1"/>
    <w:rsid w:val="00097CE5"/>
    <w:rsid w:val="00097DA1"/>
    <w:rsid w:val="00097FFD"/>
    <w:rsid w:val="000A03C0"/>
    <w:rsid w:val="000A087D"/>
    <w:rsid w:val="000A1150"/>
    <w:rsid w:val="000A1471"/>
    <w:rsid w:val="000A1503"/>
    <w:rsid w:val="000A15A4"/>
    <w:rsid w:val="000A1D98"/>
    <w:rsid w:val="000A25EC"/>
    <w:rsid w:val="000A2650"/>
    <w:rsid w:val="000A26BE"/>
    <w:rsid w:val="000A27E4"/>
    <w:rsid w:val="000A28A6"/>
    <w:rsid w:val="000A2EB7"/>
    <w:rsid w:val="000A374F"/>
    <w:rsid w:val="000A4055"/>
    <w:rsid w:val="000A4421"/>
    <w:rsid w:val="000A45FD"/>
    <w:rsid w:val="000A4B5F"/>
    <w:rsid w:val="000A4BF6"/>
    <w:rsid w:val="000A4E34"/>
    <w:rsid w:val="000A4EB5"/>
    <w:rsid w:val="000A4ED0"/>
    <w:rsid w:val="000A565B"/>
    <w:rsid w:val="000A59BD"/>
    <w:rsid w:val="000A6D10"/>
    <w:rsid w:val="000A6E4F"/>
    <w:rsid w:val="000A7945"/>
    <w:rsid w:val="000B01FB"/>
    <w:rsid w:val="000B0586"/>
    <w:rsid w:val="000B0697"/>
    <w:rsid w:val="000B09C9"/>
    <w:rsid w:val="000B0CA0"/>
    <w:rsid w:val="000B18BF"/>
    <w:rsid w:val="000B1FF2"/>
    <w:rsid w:val="000B2142"/>
    <w:rsid w:val="000B258B"/>
    <w:rsid w:val="000B2CA8"/>
    <w:rsid w:val="000B3AAA"/>
    <w:rsid w:val="000B3F8D"/>
    <w:rsid w:val="000B42E8"/>
    <w:rsid w:val="000B4935"/>
    <w:rsid w:val="000B4978"/>
    <w:rsid w:val="000B5233"/>
    <w:rsid w:val="000B56C9"/>
    <w:rsid w:val="000B5B17"/>
    <w:rsid w:val="000B6584"/>
    <w:rsid w:val="000B7598"/>
    <w:rsid w:val="000B7689"/>
    <w:rsid w:val="000B7C24"/>
    <w:rsid w:val="000C0A5C"/>
    <w:rsid w:val="000C0B4E"/>
    <w:rsid w:val="000C0BE3"/>
    <w:rsid w:val="000C1BD5"/>
    <w:rsid w:val="000C1D5D"/>
    <w:rsid w:val="000C1F32"/>
    <w:rsid w:val="000C201A"/>
    <w:rsid w:val="000C2CD5"/>
    <w:rsid w:val="000C2D76"/>
    <w:rsid w:val="000C3070"/>
    <w:rsid w:val="000C3AC9"/>
    <w:rsid w:val="000C4262"/>
    <w:rsid w:val="000C45CC"/>
    <w:rsid w:val="000C46B3"/>
    <w:rsid w:val="000C4770"/>
    <w:rsid w:val="000C4A06"/>
    <w:rsid w:val="000C502F"/>
    <w:rsid w:val="000C55B5"/>
    <w:rsid w:val="000C59F0"/>
    <w:rsid w:val="000C61A4"/>
    <w:rsid w:val="000C62D4"/>
    <w:rsid w:val="000C635D"/>
    <w:rsid w:val="000C6790"/>
    <w:rsid w:val="000D073C"/>
    <w:rsid w:val="000D0814"/>
    <w:rsid w:val="000D0830"/>
    <w:rsid w:val="000D125D"/>
    <w:rsid w:val="000D21E1"/>
    <w:rsid w:val="000D2A3C"/>
    <w:rsid w:val="000D2C25"/>
    <w:rsid w:val="000D2E3B"/>
    <w:rsid w:val="000D2E4C"/>
    <w:rsid w:val="000D36E3"/>
    <w:rsid w:val="000D3C95"/>
    <w:rsid w:val="000D4637"/>
    <w:rsid w:val="000D4DE3"/>
    <w:rsid w:val="000D4E4B"/>
    <w:rsid w:val="000D5ECB"/>
    <w:rsid w:val="000D5FBC"/>
    <w:rsid w:val="000D5FC3"/>
    <w:rsid w:val="000D6539"/>
    <w:rsid w:val="000D6A7D"/>
    <w:rsid w:val="000D7259"/>
    <w:rsid w:val="000D72D1"/>
    <w:rsid w:val="000D741B"/>
    <w:rsid w:val="000D747E"/>
    <w:rsid w:val="000D74F3"/>
    <w:rsid w:val="000D7D57"/>
    <w:rsid w:val="000E0219"/>
    <w:rsid w:val="000E0584"/>
    <w:rsid w:val="000E0A31"/>
    <w:rsid w:val="000E0B61"/>
    <w:rsid w:val="000E0FA2"/>
    <w:rsid w:val="000E192B"/>
    <w:rsid w:val="000E1974"/>
    <w:rsid w:val="000E1F65"/>
    <w:rsid w:val="000E2139"/>
    <w:rsid w:val="000E2243"/>
    <w:rsid w:val="000E2484"/>
    <w:rsid w:val="000E25EC"/>
    <w:rsid w:val="000E2EC3"/>
    <w:rsid w:val="000E2FA0"/>
    <w:rsid w:val="000E38BA"/>
    <w:rsid w:val="000E3C7F"/>
    <w:rsid w:val="000E47C1"/>
    <w:rsid w:val="000E47ED"/>
    <w:rsid w:val="000E47F1"/>
    <w:rsid w:val="000E4AFD"/>
    <w:rsid w:val="000E4F2E"/>
    <w:rsid w:val="000E507F"/>
    <w:rsid w:val="000E55B1"/>
    <w:rsid w:val="000E55FD"/>
    <w:rsid w:val="000E58E5"/>
    <w:rsid w:val="000E5900"/>
    <w:rsid w:val="000E5D51"/>
    <w:rsid w:val="000E5F6C"/>
    <w:rsid w:val="000E67A5"/>
    <w:rsid w:val="000E79E1"/>
    <w:rsid w:val="000E7BBF"/>
    <w:rsid w:val="000E7CEA"/>
    <w:rsid w:val="000E7FB6"/>
    <w:rsid w:val="000F026D"/>
    <w:rsid w:val="000F02C4"/>
    <w:rsid w:val="000F03B4"/>
    <w:rsid w:val="000F069E"/>
    <w:rsid w:val="000F0A3C"/>
    <w:rsid w:val="000F13CB"/>
    <w:rsid w:val="000F14D7"/>
    <w:rsid w:val="000F1730"/>
    <w:rsid w:val="000F1BBA"/>
    <w:rsid w:val="000F1C0A"/>
    <w:rsid w:val="000F2880"/>
    <w:rsid w:val="000F29FB"/>
    <w:rsid w:val="000F2B18"/>
    <w:rsid w:val="000F2C94"/>
    <w:rsid w:val="000F2D9F"/>
    <w:rsid w:val="000F2FAD"/>
    <w:rsid w:val="000F3C15"/>
    <w:rsid w:val="000F4038"/>
    <w:rsid w:val="000F4109"/>
    <w:rsid w:val="000F41AD"/>
    <w:rsid w:val="000F4337"/>
    <w:rsid w:val="000F45EB"/>
    <w:rsid w:val="000F477C"/>
    <w:rsid w:val="000F4851"/>
    <w:rsid w:val="000F4B71"/>
    <w:rsid w:val="000F4B9E"/>
    <w:rsid w:val="000F4D1B"/>
    <w:rsid w:val="000F5350"/>
    <w:rsid w:val="000F5514"/>
    <w:rsid w:val="000F56AA"/>
    <w:rsid w:val="000F6A4E"/>
    <w:rsid w:val="000F7552"/>
    <w:rsid w:val="001000B0"/>
    <w:rsid w:val="00100223"/>
    <w:rsid w:val="00100930"/>
    <w:rsid w:val="00100BD4"/>
    <w:rsid w:val="001012F1"/>
    <w:rsid w:val="00101505"/>
    <w:rsid w:val="00101608"/>
    <w:rsid w:val="0010197B"/>
    <w:rsid w:val="00101EA1"/>
    <w:rsid w:val="00101F6E"/>
    <w:rsid w:val="001024F5"/>
    <w:rsid w:val="00102760"/>
    <w:rsid w:val="001027B6"/>
    <w:rsid w:val="00102D40"/>
    <w:rsid w:val="00102D49"/>
    <w:rsid w:val="00102EEE"/>
    <w:rsid w:val="0010313B"/>
    <w:rsid w:val="001031F2"/>
    <w:rsid w:val="00103238"/>
    <w:rsid w:val="00103525"/>
    <w:rsid w:val="00103DD5"/>
    <w:rsid w:val="001047C3"/>
    <w:rsid w:val="00104CF5"/>
    <w:rsid w:val="00104EE5"/>
    <w:rsid w:val="0010613B"/>
    <w:rsid w:val="00106B08"/>
    <w:rsid w:val="00107103"/>
    <w:rsid w:val="001073C8"/>
    <w:rsid w:val="001076EB"/>
    <w:rsid w:val="001077D8"/>
    <w:rsid w:val="00107804"/>
    <w:rsid w:val="00107A11"/>
    <w:rsid w:val="00107F32"/>
    <w:rsid w:val="00107FF7"/>
    <w:rsid w:val="001100E0"/>
    <w:rsid w:val="00110209"/>
    <w:rsid w:val="001105C1"/>
    <w:rsid w:val="001108DA"/>
    <w:rsid w:val="00110C1D"/>
    <w:rsid w:val="00110CEA"/>
    <w:rsid w:val="00110DEF"/>
    <w:rsid w:val="00110FF7"/>
    <w:rsid w:val="0011105A"/>
    <w:rsid w:val="001111B2"/>
    <w:rsid w:val="00111FED"/>
    <w:rsid w:val="00112266"/>
    <w:rsid w:val="00112D31"/>
    <w:rsid w:val="001135DE"/>
    <w:rsid w:val="0011384B"/>
    <w:rsid w:val="001138D9"/>
    <w:rsid w:val="001139D2"/>
    <w:rsid w:val="00113E12"/>
    <w:rsid w:val="00114A84"/>
    <w:rsid w:val="00114B0B"/>
    <w:rsid w:val="00114D7A"/>
    <w:rsid w:val="00114EDA"/>
    <w:rsid w:val="001150DF"/>
    <w:rsid w:val="00115817"/>
    <w:rsid w:val="00115843"/>
    <w:rsid w:val="00115CD3"/>
    <w:rsid w:val="001162A8"/>
    <w:rsid w:val="0011707B"/>
    <w:rsid w:val="00117682"/>
    <w:rsid w:val="00120973"/>
    <w:rsid w:val="00120D5B"/>
    <w:rsid w:val="001218B3"/>
    <w:rsid w:val="00121CA1"/>
    <w:rsid w:val="00122A76"/>
    <w:rsid w:val="001230C8"/>
    <w:rsid w:val="001233EF"/>
    <w:rsid w:val="001239EA"/>
    <w:rsid w:val="00123AB2"/>
    <w:rsid w:val="00123BE4"/>
    <w:rsid w:val="00123EE0"/>
    <w:rsid w:val="0012450A"/>
    <w:rsid w:val="00124527"/>
    <w:rsid w:val="00124FF4"/>
    <w:rsid w:val="00125A38"/>
    <w:rsid w:val="00125B37"/>
    <w:rsid w:val="00125D24"/>
    <w:rsid w:val="00125E3A"/>
    <w:rsid w:val="00126152"/>
    <w:rsid w:val="00126493"/>
    <w:rsid w:val="00126645"/>
    <w:rsid w:val="00126EA3"/>
    <w:rsid w:val="00126EDD"/>
    <w:rsid w:val="00127147"/>
    <w:rsid w:val="001274EA"/>
    <w:rsid w:val="00127629"/>
    <w:rsid w:val="00127B28"/>
    <w:rsid w:val="00127FD0"/>
    <w:rsid w:val="001301A7"/>
    <w:rsid w:val="00130AAF"/>
    <w:rsid w:val="00130B7C"/>
    <w:rsid w:val="00130C3F"/>
    <w:rsid w:val="00130C96"/>
    <w:rsid w:val="00130CE0"/>
    <w:rsid w:val="00130D3A"/>
    <w:rsid w:val="0013125D"/>
    <w:rsid w:val="0013131A"/>
    <w:rsid w:val="001316DA"/>
    <w:rsid w:val="001316E9"/>
    <w:rsid w:val="00131909"/>
    <w:rsid w:val="0013193A"/>
    <w:rsid w:val="00131A7B"/>
    <w:rsid w:val="00131D93"/>
    <w:rsid w:val="00132175"/>
    <w:rsid w:val="001329EB"/>
    <w:rsid w:val="00132D0A"/>
    <w:rsid w:val="001330D1"/>
    <w:rsid w:val="00133525"/>
    <w:rsid w:val="00133897"/>
    <w:rsid w:val="00133B07"/>
    <w:rsid w:val="00133F3A"/>
    <w:rsid w:val="00134801"/>
    <w:rsid w:val="0013485B"/>
    <w:rsid w:val="00134BAE"/>
    <w:rsid w:val="00134CBE"/>
    <w:rsid w:val="00135220"/>
    <w:rsid w:val="00135322"/>
    <w:rsid w:val="00135424"/>
    <w:rsid w:val="00136250"/>
    <w:rsid w:val="00136343"/>
    <w:rsid w:val="001364FF"/>
    <w:rsid w:val="00136605"/>
    <w:rsid w:val="0013749C"/>
    <w:rsid w:val="0013772B"/>
    <w:rsid w:val="00137E39"/>
    <w:rsid w:val="001403B5"/>
    <w:rsid w:val="001403E6"/>
    <w:rsid w:val="001406C6"/>
    <w:rsid w:val="00141013"/>
    <w:rsid w:val="00141073"/>
    <w:rsid w:val="0014117A"/>
    <w:rsid w:val="001411BC"/>
    <w:rsid w:val="0014169D"/>
    <w:rsid w:val="001416EC"/>
    <w:rsid w:val="001418CE"/>
    <w:rsid w:val="00141E0B"/>
    <w:rsid w:val="00142AB9"/>
    <w:rsid w:val="00142D86"/>
    <w:rsid w:val="00142F2B"/>
    <w:rsid w:val="00144794"/>
    <w:rsid w:val="001448FD"/>
    <w:rsid w:val="00144EE5"/>
    <w:rsid w:val="001452B6"/>
    <w:rsid w:val="0014579A"/>
    <w:rsid w:val="00145AA1"/>
    <w:rsid w:val="00146281"/>
    <w:rsid w:val="00146493"/>
    <w:rsid w:val="001464EA"/>
    <w:rsid w:val="001469E6"/>
    <w:rsid w:val="00146BDE"/>
    <w:rsid w:val="00146C55"/>
    <w:rsid w:val="00147428"/>
    <w:rsid w:val="0014760A"/>
    <w:rsid w:val="0014778D"/>
    <w:rsid w:val="00147916"/>
    <w:rsid w:val="001479E7"/>
    <w:rsid w:val="00147B22"/>
    <w:rsid w:val="00147E01"/>
    <w:rsid w:val="001500E2"/>
    <w:rsid w:val="001507AF"/>
    <w:rsid w:val="00151289"/>
    <w:rsid w:val="00151886"/>
    <w:rsid w:val="00151930"/>
    <w:rsid w:val="001523B6"/>
    <w:rsid w:val="0015260E"/>
    <w:rsid w:val="00152A60"/>
    <w:rsid w:val="00152AAE"/>
    <w:rsid w:val="00152BED"/>
    <w:rsid w:val="00152C50"/>
    <w:rsid w:val="00152CE1"/>
    <w:rsid w:val="0015319A"/>
    <w:rsid w:val="001533F9"/>
    <w:rsid w:val="00153C22"/>
    <w:rsid w:val="00153EF2"/>
    <w:rsid w:val="0015457A"/>
    <w:rsid w:val="00154792"/>
    <w:rsid w:val="001548C1"/>
    <w:rsid w:val="00154CE4"/>
    <w:rsid w:val="0015541E"/>
    <w:rsid w:val="00155B2D"/>
    <w:rsid w:val="00155F6E"/>
    <w:rsid w:val="00157282"/>
    <w:rsid w:val="001577F6"/>
    <w:rsid w:val="00157836"/>
    <w:rsid w:val="0015797E"/>
    <w:rsid w:val="001579C4"/>
    <w:rsid w:val="001579C9"/>
    <w:rsid w:val="00157A42"/>
    <w:rsid w:val="0016018E"/>
    <w:rsid w:val="00160654"/>
    <w:rsid w:val="0016066D"/>
    <w:rsid w:val="001606E1"/>
    <w:rsid w:val="001607E1"/>
    <w:rsid w:val="00160A1D"/>
    <w:rsid w:val="00160C7F"/>
    <w:rsid w:val="001612A2"/>
    <w:rsid w:val="001617F1"/>
    <w:rsid w:val="00161E41"/>
    <w:rsid w:val="0016297C"/>
    <w:rsid w:val="0016336B"/>
    <w:rsid w:val="00163403"/>
    <w:rsid w:val="001643EC"/>
    <w:rsid w:val="00164C97"/>
    <w:rsid w:val="00164FB4"/>
    <w:rsid w:val="00165EBD"/>
    <w:rsid w:val="00165EC7"/>
    <w:rsid w:val="00167123"/>
    <w:rsid w:val="001671B0"/>
    <w:rsid w:val="0016721F"/>
    <w:rsid w:val="00167374"/>
    <w:rsid w:val="0016754B"/>
    <w:rsid w:val="00167884"/>
    <w:rsid w:val="00167C4E"/>
    <w:rsid w:val="00170740"/>
    <w:rsid w:val="001712CC"/>
    <w:rsid w:val="001713EF"/>
    <w:rsid w:val="001715B9"/>
    <w:rsid w:val="00171B7E"/>
    <w:rsid w:val="00171CF9"/>
    <w:rsid w:val="00171FEB"/>
    <w:rsid w:val="00172B67"/>
    <w:rsid w:val="00172C64"/>
    <w:rsid w:val="00172E58"/>
    <w:rsid w:val="00173098"/>
    <w:rsid w:val="0017321F"/>
    <w:rsid w:val="001733A4"/>
    <w:rsid w:val="00173C09"/>
    <w:rsid w:val="00173FD3"/>
    <w:rsid w:val="001741FC"/>
    <w:rsid w:val="00174346"/>
    <w:rsid w:val="0017453E"/>
    <w:rsid w:val="001745DB"/>
    <w:rsid w:val="00175287"/>
    <w:rsid w:val="001753A1"/>
    <w:rsid w:val="001755DA"/>
    <w:rsid w:val="001758D0"/>
    <w:rsid w:val="001759E1"/>
    <w:rsid w:val="00175AEF"/>
    <w:rsid w:val="00175BDD"/>
    <w:rsid w:val="00175E96"/>
    <w:rsid w:val="001763C5"/>
    <w:rsid w:val="00176EB0"/>
    <w:rsid w:val="001773DA"/>
    <w:rsid w:val="001774AC"/>
    <w:rsid w:val="00177503"/>
    <w:rsid w:val="00177B56"/>
    <w:rsid w:val="001808CC"/>
    <w:rsid w:val="00180AA9"/>
    <w:rsid w:val="00181437"/>
    <w:rsid w:val="0018185B"/>
    <w:rsid w:val="00181E81"/>
    <w:rsid w:val="00182292"/>
    <w:rsid w:val="00182309"/>
    <w:rsid w:val="00182576"/>
    <w:rsid w:val="001828B1"/>
    <w:rsid w:val="001828E8"/>
    <w:rsid w:val="001828F7"/>
    <w:rsid w:val="00182D5A"/>
    <w:rsid w:val="00182E29"/>
    <w:rsid w:val="001830F7"/>
    <w:rsid w:val="00183841"/>
    <w:rsid w:val="00183BF4"/>
    <w:rsid w:val="00183BF6"/>
    <w:rsid w:val="00183EEA"/>
    <w:rsid w:val="00184572"/>
    <w:rsid w:val="0018503D"/>
    <w:rsid w:val="00185040"/>
    <w:rsid w:val="001857DB"/>
    <w:rsid w:val="00185CC7"/>
    <w:rsid w:val="00187565"/>
    <w:rsid w:val="001876D7"/>
    <w:rsid w:val="00187B39"/>
    <w:rsid w:val="001904F7"/>
    <w:rsid w:val="00190D94"/>
    <w:rsid w:val="00191044"/>
    <w:rsid w:val="001913CF"/>
    <w:rsid w:val="001916B9"/>
    <w:rsid w:val="00191751"/>
    <w:rsid w:val="00191C67"/>
    <w:rsid w:val="001922C6"/>
    <w:rsid w:val="001929D7"/>
    <w:rsid w:val="001939EF"/>
    <w:rsid w:val="00193E90"/>
    <w:rsid w:val="0019400A"/>
    <w:rsid w:val="00194B4A"/>
    <w:rsid w:val="00194C27"/>
    <w:rsid w:val="001953F7"/>
    <w:rsid w:val="00195B7C"/>
    <w:rsid w:val="00195D7C"/>
    <w:rsid w:val="0019691C"/>
    <w:rsid w:val="00196E7D"/>
    <w:rsid w:val="001973DF"/>
    <w:rsid w:val="00197753"/>
    <w:rsid w:val="0019784C"/>
    <w:rsid w:val="00197883"/>
    <w:rsid w:val="00197D5C"/>
    <w:rsid w:val="001A028F"/>
    <w:rsid w:val="001A057E"/>
    <w:rsid w:val="001A0955"/>
    <w:rsid w:val="001A11A4"/>
    <w:rsid w:val="001A122D"/>
    <w:rsid w:val="001A1EED"/>
    <w:rsid w:val="001A265D"/>
    <w:rsid w:val="001A306A"/>
    <w:rsid w:val="001A38DB"/>
    <w:rsid w:val="001A40B9"/>
    <w:rsid w:val="001A4850"/>
    <w:rsid w:val="001A4C53"/>
    <w:rsid w:val="001A4DEA"/>
    <w:rsid w:val="001A5511"/>
    <w:rsid w:val="001A5F59"/>
    <w:rsid w:val="001A64F2"/>
    <w:rsid w:val="001A6C84"/>
    <w:rsid w:val="001A6CD5"/>
    <w:rsid w:val="001A75DD"/>
    <w:rsid w:val="001B0888"/>
    <w:rsid w:val="001B0B28"/>
    <w:rsid w:val="001B0FFA"/>
    <w:rsid w:val="001B1762"/>
    <w:rsid w:val="001B18D9"/>
    <w:rsid w:val="001B1BDE"/>
    <w:rsid w:val="001B1D23"/>
    <w:rsid w:val="001B23B4"/>
    <w:rsid w:val="001B2404"/>
    <w:rsid w:val="001B2638"/>
    <w:rsid w:val="001B2826"/>
    <w:rsid w:val="001B2DFA"/>
    <w:rsid w:val="001B2F10"/>
    <w:rsid w:val="001B2FEF"/>
    <w:rsid w:val="001B3347"/>
    <w:rsid w:val="001B3795"/>
    <w:rsid w:val="001B3E11"/>
    <w:rsid w:val="001B43CB"/>
    <w:rsid w:val="001B4568"/>
    <w:rsid w:val="001B54E1"/>
    <w:rsid w:val="001B59D3"/>
    <w:rsid w:val="001B5C13"/>
    <w:rsid w:val="001B5FF6"/>
    <w:rsid w:val="001B601A"/>
    <w:rsid w:val="001B6C4F"/>
    <w:rsid w:val="001B7526"/>
    <w:rsid w:val="001B7B0C"/>
    <w:rsid w:val="001C0E0C"/>
    <w:rsid w:val="001C0FD3"/>
    <w:rsid w:val="001C109E"/>
    <w:rsid w:val="001C10ED"/>
    <w:rsid w:val="001C1428"/>
    <w:rsid w:val="001C160C"/>
    <w:rsid w:val="001C1C88"/>
    <w:rsid w:val="001C1DE0"/>
    <w:rsid w:val="001C1DF0"/>
    <w:rsid w:val="001C212C"/>
    <w:rsid w:val="001C2193"/>
    <w:rsid w:val="001C21AC"/>
    <w:rsid w:val="001C21E4"/>
    <w:rsid w:val="001C222F"/>
    <w:rsid w:val="001C2571"/>
    <w:rsid w:val="001C2AEE"/>
    <w:rsid w:val="001C30BA"/>
    <w:rsid w:val="001C3311"/>
    <w:rsid w:val="001C3F5B"/>
    <w:rsid w:val="001C4057"/>
    <w:rsid w:val="001C4585"/>
    <w:rsid w:val="001C4A93"/>
    <w:rsid w:val="001C4FED"/>
    <w:rsid w:val="001C531D"/>
    <w:rsid w:val="001C55A6"/>
    <w:rsid w:val="001C579F"/>
    <w:rsid w:val="001C5EFF"/>
    <w:rsid w:val="001C5F39"/>
    <w:rsid w:val="001C73AE"/>
    <w:rsid w:val="001D005A"/>
    <w:rsid w:val="001D0061"/>
    <w:rsid w:val="001D087E"/>
    <w:rsid w:val="001D0B61"/>
    <w:rsid w:val="001D0CE3"/>
    <w:rsid w:val="001D0DE6"/>
    <w:rsid w:val="001D0DFF"/>
    <w:rsid w:val="001D1373"/>
    <w:rsid w:val="001D1C62"/>
    <w:rsid w:val="001D1D2B"/>
    <w:rsid w:val="001D1E77"/>
    <w:rsid w:val="001D2205"/>
    <w:rsid w:val="001D2991"/>
    <w:rsid w:val="001D2BBC"/>
    <w:rsid w:val="001D2F84"/>
    <w:rsid w:val="001D3A18"/>
    <w:rsid w:val="001D3AF5"/>
    <w:rsid w:val="001D405E"/>
    <w:rsid w:val="001D40DC"/>
    <w:rsid w:val="001D4167"/>
    <w:rsid w:val="001D46D0"/>
    <w:rsid w:val="001D4FCD"/>
    <w:rsid w:val="001D565E"/>
    <w:rsid w:val="001D5675"/>
    <w:rsid w:val="001D568F"/>
    <w:rsid w:val="001D59D2"/>
    <w:rsid w:val="001D5A50"/>
    <w:rsid w:val="001D6279"/>
    <w:rsid w:val="001D62CF"/>
    <w:rsid w:val="001D722A"/>
    <w:rsid w:val="001D759C"/>
    <w:rsid w:val="001D7AF6"/>
    <w:rsid w:val="001D7CB1"/>
    <w:rsid w:val="001D7D56"/>
    <w:rsid w:val="001E0370"/>
    <w:rsid w:val="001E0499"/>
    <w:rsid w:val="001E0709"/>
    <w:rsid w:val="001E0DFC"/>
    <w:rsid w:val="001E1329"/>
    <w:rsid w:val="001E17A8"/>
    <w:rsid w:val="001E1834"/>
    <w:rsid w:val="001E18A2"/>
    <w:rsid w:val="001E1C67"/>
    <w:rsid w:val="001E1F10"/>
    <w:rsid w:val="001E2046"/>
    <w:rsid w:val="001E2859"/>
    <w:rsid w:val="001E28C5"/>
    <w:rsid w:val="001E2AB0"/>
    <w:rsid w:val="001E3730"/>
    <w:rsid w:val="001E4246"/>
    <w:rsid w:val="001E4492"/>
    <w:rsid w:val="001E44AE"/>
    <w:rsid w:val="001E4538"/>
    <w:rsid w:val="001E467D"/>
    <w:rsid w:val="001E4804"/>
    <w:rsid w:val="001E4FA5"/>
    <w:rsid w:val="001E5077"/>
    <w:rsid w:val="001E532A"/>
    <w:rsid w:val="001E5636"/>
    <w:rsid w:val="001E5F3F"/>
    <w:rsid w:val="001E608C"/>
    <w:rsid w:val="001E755C"/>
    <w:rsid w:val="001E7985"/>
    <w:rsid w:val="001F0617"/>
    <w:rsid w:val="001F0AA0"/>
    <w:rsid w:val="001F0CAB"/>
    <w:rsid w:val="001F1028"/>
    <w:rsid w:val="001F1322"/>
    <w:rsid w:val="001F1A41"/>
    <w:rsid w:val="001F1B3D"/>
    <w:rsid w:val="001F24B0"/>
    <w:rsid w:val="001F2BC9"/>
    <w:rsid w:val="001F2EBD"/>
    <w:rsid w:val="001F3852"/>
    <w:rsid w:val="001F3A95"/>
    <w:rsid w:val="001F426C"/>
    <w:rsid w:val="001F42C4"/>
    <w:rsid w:val="001F447D"/>
    <w:rsid w:val="001F4EAA"/>
    <w:rsid w:val="001F4EEF"/>
    <w:rsid w:val="001F502F"/>
    <w:rsid w:val="001F50DD"/>
    <w:rsid w:val="001F5503"/>
    <w:rsid w:val="001F5D74"/>
    <w:rsid w:val="001F5DDF"/>
    <w:rsid w:val="001F5F4B"/>
    <w:rsid w:val="001F603C"/>
    <w:rsid w:val="001F62A2"/>
    <w:rsid w:val="001F62B1"/>
    <w:rsid w:val="001F63B1"/>
    <w:rsid w:val="001F64E7"/>
    <w:rsid w:val="001F6561"/>
    <w:rsid w:val="001F661C"/>
    <w:rsid w:val="001F66CA"/>
    <w:rsid w:val="001F6A82"/>
    <w:rsid w:val="001F6F90"/>
    <w:rsid w:val="001F7455"/>
    <w:rsid w:val="001F791D"/>
    <w:rsid w:val="001F79D6"/>
    <w:rsid w:val="001F7BC6"/>
    <w:rsid w:val="00200070"/>
    <w:rsid w:val="002002FD"/>
    <w:rsid w:val="00200461"/>
    <w:rsid w:val="002008AB"/>
    <w:rsid w:val="00200E9E"/>
    <w:rsid w:val="00200EEC"/>
    <w:rsid w:val="00201370"/>
    <w:rsid w:val="0020152E"/>
    <w:rsid w:val="0020219C"/>
    <w:rsid w:val="00202893"/>
    <w:rsid w:val="00203202"/>
    <w:rsid w:val="00203426"/>
    <w:rsid w:val="00203451"/>
    <w:rsid w:val="002034ED"/>
    <w:rsid w:val="00203B6A"/>
    <w:rsid w:val="00203E0E"/>
    <w:rsid w:val="00203EAF"/>
    <w:rsid w:val="00203ECD"/>
    <w:rsid w:val="00203FEB"/>
    <w:rsid w:val="002041AE"/>
    <w:rsid w:val="00204390"/>
    <w:rsid w:val="002046A8"/>
    <w:rsid w:val="00204C13"/>
    <w:rsid w:val="0020520D"/>
    <w:rsid w:val="002052B8"/>
    <w:rsid w:val="0020583E"/>
    <w:rsid w:val="00205D88"/>
    <w:rsid w:val="00206053"/>
    <w:rsid w:val="00206BAC"/>
    <w:rsid w:val="00206C1C"/>
    <w:rsid w:val="00206ED5"/>
    <w:rsid w:val="00207093"/>
    <w:rsid w:val="00207460"/>
    <w:rsid w:val="00210264"/>
    <w:rsid w:val="00210CF9"/>
    <w:rsid w:val="00210D0D"/>
    <w:rsid w:val="00211555"/>
    <w:rsid w:val="002117DE"/>
    <w:rsid w:val="002119D3"/>
    <w:rsid w:val="00211AD0"/>
    <w:rsid w:val="00212077"/>
    <w:rsid w:val="002125BD"/>
    <w:rsid w:val="0021262B"/>
    <w:rsid w:val="00212A0D"/>
    <w:rsid w:val="002138C6"/>
    <w:rsid w:val="00213A59"/>
    <w:rsid w:val="00215028"/>
    <w:rsid w:val="00215A25"/>
    <w:rsid w:val="00215AAF"/>
    <w:rsid w:val="00215B49"/>
    <w:rsid w:val="00215BB5"/>
    <w:rsid w:val="00216068"/>
    <w:rsid w:val="002162BE"/>
    <w:rsid w:val="00216CE4"/>
    <w:rsid w:val="00216D6E"/>
    <w:rsid w:val="00216E73"/>
    <w:rsid w:val="0021773E"/>
    <w:rsid w:val="002179CD"/>
    <w:rsid w:val="00220084"/>
    <w:rsid w:val="00220B42"/>
    <w:rsid w:val="00220EBC"/>
    <w:rsid w:val="00220FDA"/>
    <w:rsid w:val="00221334"/>
    <w:rsid w:val="0022150B"/>
    <w:rsid w:val="0022196B"/>
    <w:rsid w:val="002219DE"/>
    <w:rsid w:val="00221F4E"/>
    <w:rsid w:val="002221AC"/>
    <w:rsid w:val="002223DA"/>
    <w:rsid w:val="002223EE"/>
    <w:rsid w:val="002225AE"/>
    <w:rsid w:val="00222B70"/>
    <w:rsid w:val="00222CF7"/>
    <w:rsid w:val="00222F7E"/>
    <w:rsid w:val="00224AA9"/>
    <w:rsid w:val="00224ADA"/>
    <w:rsid w:val="00224C66"/>
    <w:rsid w:val="0022566B"/>
    <w:rsid w:val="002256DC"/>
    <w:rsid w:val="002262A9"/>
    <w:rsid w:val="0022647F"/>
    <w:rsid w:val="00227003"/>
    <w:rsid w:val="002270C0"/>
    <w:rsid w:val="00227B41"/>
    <w:rsid w:val="00227E44"/>
    <w:rsid w:val="00230124"/>
    <w:rsid w:val="00230160"/>
    <w:rsid w:val="00230229"/>
    <w:rsid w:val="0023090A"/>
    <w:rsid w:val="00230CB6"/>
    <w:rsid w:val="00230E7B"/>
    <w:rsid w:val="0023109F"/>
    <w:rsid w:val="00231109"/>
    <w:rsid w:val="00231561"/>
    <w:rsid w:val="00231CCF"/>
    <w:rsid w:val="0023283B"/>
    <w:rsid w:val="00232891"/>
    <w:rsid w:val="0023318B"/>
    <w:rsid w:val="00233962"/>
    <w:rsid w:val="00233EE7"/>
    <w:rsid w:val="00234463"/>
    <w:rsid w:val="002347D9"/>
    <w:rsid w:val="002349D0"/>
    <w:rsid w:val="002351A8"/>
    <w:rsid w:val="00236306"/>
    <w:rsid w:val="00236549"/>
    <w:rsid w:val="0023654D"/>
    <w:rsid w:val="00236590"/>
    <w:rsid w:val="00236AF5"/>
    <w:rsid w:val="00237142"/>
    <w:rsid w:val="002376A5"/>
    <w:rsid w:val="00237A2E"/>
    <w:rsid w:val="00237D34"/>
    <w:rsid w:val="00237F50"/>
    <w:rsid w:val="00240196"/>
    <w:rsid w:val="002401EE"/>
    <w:rsid w:val="00241134"/>
    <w:rsid w:val="0024149E"/>
    <w:rsid w:val="002418A2"/>
    <w:rsid w:val="0024275F"/>
    <w:rsid w:val="00242DB3"/>
    <w:rsid w:val="00243034"/>
    <w:rsid w:val="00243202"/>
    <w:rsid w:val="002434AC"/>
    <w:rsid w:val="00243762"/>
    <w:rsid w:val="0024484E"/>
    <w:rsid w:val="00244A2C"/>
    <w:rsid w:val="00245239"/>
    <w:rsid w:val="00245F8D"/>
    <w:rsid w:val="00246848"/>
    <w:rsid w:val="00246BE8"/>
    <w:rsid w:val="00246C02"/>
    <w:rsid w:val="00247486"/>
    <w:rsid w:val="00247580"/>
    <w:rsid w:val="00247754"/>
    <w:rsid w:val="002479C6"/>
    <w:rsid w:val="00247ED6"/>
    <w:rsid w:val="00250285"/>
    <w:rsid w:val="002503E5"/>
    <w:rsid w:val="002504C9"/>
    <w:rsid w:val="002504FA"/>
    <w:rsid w:val="002507B9"/>
    <w:rsid w:val="00250E04"/>
    <w:rsid w:val="00250F08"/>
    <w:rsid w:val="00251127"/>
    <w:rsid w:val="00251544"/>
    <w:rsid w:val="00251580"/>
    <w:rsid w:val="00251FDF"/>
    <w:rsid w:val="00252293"/>
    <w:rsid w:val="002524FE"/>
    <w:rsid w:val="002527C8"/>
    <w:rsid w:val="002528F0"/>
    <w:rsid w:val="00253317"/>
    <w:rsid w:val="0025366E"/>
    <w:rsid w:val="002537C3"/>
    <w:rsid w:val="00253C09"/>
    <w:rsid w:val="002545F1"/>
    <w:rsid w:val="002547DD"/>
    <w:rsid w:val="00254A42"/>
    <w:rsid w:val="0025588E"/>
    <w:rsid w:val="00255AE4"/>
    <w:rsid w:val="00257574"/>
    <w:rsid w:val="00257CEA"/>
    <w:rsid w:val="00260096"/>
    <w:rsid w:val="00260441"/>
    <w:rsid w:val="00260CC8"/>
    <w:rsid w:val="00261073"/>
    <w:rsid w:val="002617CE"/>
    <w:rsid w:val="002619B5"/>
    <w:rsid w:val="00261F37"/>
    <w:rsid w:val="002620D3"/>
    <w:rsid w:val="0026235F"/>
    <w:rsid w:val="00262B91"/>
    <w:rsid w:val="002631E5"/>
    <w:rsid w:val="0026350B"/>
    <w:rsid w:val="0026364A"/>
    <w:rsid w:val="00263BEA"/>
    <w:rsid w:val="00263C6E"/>
    <w:rsid w:val="00263D95"/>
    <w:rsid w:val="00263DFE"/>
    <w:rsid w:val="00263E15"/>
    <w:rsid w:val="002642EA"/>
    <w:rsid w:val="00264F69"/>
    <w:rsid w:val="00265097"/>
    <w:rsid w:val="00265356"/>
    <w:rsid w:val="00265554"/>
    <w:rsid w:val="002659D5"/>
    <w:rsid w:val="00265ADE"/>
    <w:rsid w:val="00265F3E"/>
    <w:rsid w:val="00266533"/>
    <w:rsid w:val="00266D1D"/>
    <w:rsid w:val="00270563"/>
    <w:rsid w:val="00270A11"/>
    <w:rsid w:val="00270AF4"/>
    <w:rsid w:val="00270C3F"/>
    <w:rsid w:val="00271773"/>
    <w:rsid w:val="00271D28"/>
    <w:rsid w:val="00271EAC"/>
    <w:rsid w:val="00272DF6"/>
    <w:rsid w:val="002731E1"/>
    <w:rsid w:val="00273308"/>
    <w:rsid w:val="0027392E"/>
    <w:rsid w:val="00274399"/>
    <w:rsid w:val="002745CF"/>
    <w:rsid w:val="00275AE2"/>
    <w:rsid w:val="00276047"/>
    <w:rsid w:val="00276A27"/>
    <w:rsid w:val="00276DCD"/>
    <w:rsid w:val="0027773A"/>
    <w:rsid w:val="00277939"/>
    <w:rsid w:val="0028049B"/>
    <w:rsid w:val="00280515"/>
    <w:rsid w:val="002807DE"/>
    <w:rsid w:val="00280892"/>
    <w:rsid w:val="00280CB5"/>
    <w:rsid w:val="0028137E"/>
    <w:rsid w:val="00281469"/>
    <w:rsid w:val="002814BF"/>
    <w:rsid w:val="00281848"/>
    <w:rsid w:val="002818FD"/>
    <w:rsid w:val="00281DDD"/>
    <w:rsid w:val="00281F6B"/>
    <w:rsid w:val="0028273E"/>
    <w:rsid w:val="00282B1E"/>
    <w:rsid w:val="00283D18"/>
    <w:rsid w:val="00284479"/>
    <w:rsid w:val="00284F81"/>
    <w:rsid w:val="00284FB3"/>
    <w:rsid w:val="0028545B"/>
    <w:rsid w:val="0028550E"/>
    <w:rsid w:val="00286319"/>
    <w:rsid w:val="0028644D"/>
    <w:rsid w:val="0028685C"/>
    <w:rsid w:val="00286F55"/>
    <w:rsid w:val="0028700E"/>
    <w:rsid w:val="0028748E"/>
    <w:rsid w:val="00287562"/>
    <w:rsid w:val="0028768F"/>
    <w:rsid w:val="002900A0"/>
    <w:rsid w:val="00290334"/>
    <w:rsid w:val="0029090B"/>
    <w:rsid w:val="00290D12"/>
    <w:rsid w:val="00291665"/>
    <w:rsid w:val="00291790"/>
    <w:rsid w:val="002917B4"/>
    <w:rsid w:val="002917E2"/>
    <w:rsid w:val="002918D6"/>
    <w:rsid w:val="00291984"/>
    <w:rsid w:val="00291D2C"/>
    <w:rsid w:val="0029219F"/>
    <w:rsid w:val="00292294"/>
    <w:rsid w:val="00292554"/>
    <w:rsid w:val="00292638"/>
    <w:rsid w:val="002926C3"/>
    <w:rsid w:val="00292C29"/>
    <w:rsid w:val="00293161"/>
    <w:rsid w:val="00293272"/>
    <w:rsid w:val="00293A41"/>
    <w:rsid w:val="00293C04"/>
    <w:rsid w:val="00293E31"/>
    <w:rsid w:val="002944CE"/>
    <w:rsid w:val="002948F1"/>
    <w:rsid w:val="00294943"/>
    <w:rsid w:val="0029505B"/>
    <w:rsid w:val="002951EF"/>
    <w:rsid w:val="002953B5"/>
    <w:rsid w:val="00295E9A"/>
    <w:rsid w:val="00296230"/>
    <w:rsid w:val="00296805"/>
    <w:rsid w:val="00296EEA"/>
    <w:rsid w:val="0029765C"/>
    <w:rsid w:val="002977A5"/>
    <w:rsid w:val="00297933"/>
    <w:rsid w:val="0029798D"/>
    <w:rsid w:val="002A00A9"/>
    <w:rsid w:val="002A0A7F"/>
    <w:rsid w:val="002A0B34"/>
    <w:rsid w:val="002A0B90"/>
    <w:rsid w:val="002A0ED0"/>
    <w:rsid w:val="002A2906"/>
    <w:rsid w:val="002A2930"/>
    <w:rsid w:val="002A34FD"/>
    <w:rsid w:val="002A35F6"/>
    <w:rsid w:val="002A3772"/>
    <w:rsid w:val="002A38A6"/>
    <w:rsid w:val="002A3AFD"/>
    <w:rsid w:val="002A3D74"/>
    <w:rsid w:val="002A3E2A"/>
    <w:rsid w:val="002A4596"/>
    <w:rsid w:val="002A4C5E"/>
    <w:rsid w:val="002A4F4B"/>
    <w:rsid w:val="002A5507"/>
    <w:rsid w:val="002A5BC7"/>
    <w:rsid w:val="002A5CEF"/>
    <w:rsid w:val="002A5F20"/>
    <w:rsid w:val="002A60E3"/>
    <w:rsid w:val="002A64A3"/>
    <w:rsid w:val="002A665A"/>
    <w:rsid w:val="002A6DAB"/>
    <w:rsid w:val="002A6EA0"/>
    <w:rsid w:val="002A7025"/>
    <w:rsid w:val="002A72CC"/>
    <w:rsid w:val="002A74F0"/>
    <w:rsid w:val="002A7E21"/>
    <w:rsid w:val="002B000A"/>
    <w:rsid w:val="002B0424"/>
    <w:rsid w:val="002B0466"/>
    <w:rsid w:val="002B05B0"/>
    <w:rsid w:val="002B0B86"/>
    <w:rsid w:val="002B0CC3"/>
    <w:rsid w:val="002B1754"/>
    <w:rsid w:val="002B1EFB"/>
    <w:rsid w:val="002B1F1C"/>
    <w:rsid w:val="002B21AE"/>
    <w:rsid w:val="002B222A"/>
    <w:rsid w:val="002B2233"/>
    <w:rsid w:val="002B28F5"/>
    <w:rsid w:val="002B2A49"/>
    <w:rsid w:val="002B2EA8"/>
    <w:rsid w:val="002B2F71"/>
    <w:rsid w:val="002B364E"/>
    <w:rsid w:val="002B3820"/>
    <w:rsid w:val="002B3E78"/>
    <w:rsid w:val="002B5405"/>
    <w:rsid w:val="002B569D"/>
    <w:rsid w:val="002B59F0"/>
    <w:rsid w:val="002B5C42"/>
    <w:rsid w:val="002B6063"/>
    <w:rsid w:val="002B60F9"/>
    <w:rsid w:val="002B6881"/>
    <w:rsid w:val="002B690C"/>
    <w:rsid w:val="002B70C9"/>
    <w:rsid w:val="002B7532"/>
    <w:rsid w:val="002B755D"/>
    <w:rsid w:val="002B79F1"/>
    <w:rsid w:val="002C0908"/>
    <w:rsid w:val="002C090B"/>
    <w:rsid w:val="002C0B1A"/>
    <w:rsid w:val="002C0EE8"/>
    <w:rsid w:val="002C1745"/>
    <w:rsid w:val="002C1A74"/>
    <w:rsid w:val="002C1C78"/>
    <w:rsid w:val="002C1D68"/>
    <w:rsid w:val="002C2124"/>
    <w:rsid w:val="002C21B2"/>
    <w:rsid w:val="002C2218"/>
    <w:rsid w:val="002C2835"/>
    <w:rsid w:val="002C284F"/>
    <w:rsid w:val="002C2BD5"/>
    <w:rsid w:val="002C2CDA"/>
    <w:rsid w:val="002C2E69"/>
    <w:rsid w:val="002C2ED7"/>
    <w:rsid w:val="002C2EF0"/>
    <w:rsid w:val="002C3231"/>
    <w:rsid w:val="002C3301"/>
    <w:rsid w:val="002C38BC"/>
    <w:rsid w:val="002C3C15"/>
    <w:rsid w:val="002C3F24"/>
    <w:rsid w:val="002C41DA"/>
    <w:rsid w:val="002C43DB"/>
    <w:rsid w:val="002C511E"/>
    <w:rsid w:val="002C56F5"/>
    <w:rsid w:val="002C5B32"/>
    <w:rsid w:val="002C5D12"/>
    <w:rsid w:val="002C622F"/>
    <w:rsid w:val="002C6421"/>
    <w:rsid w:val="002C680B"/>
    <w:rsid w:val="002C6978"/>
    <w:rsid w:val="002C6ABE"/>
    <w:rsid w:val="002C6B04"/>
    <w:rsid w:val="002C6B54"/>
    <w:rsid w:val="002C6F00"/>
    <w:rsid w:val="002C7B84"/>
    <w:rsid w:val="002D0D5B"/>
    <w:rsid w:val="002D0E2E"/>
    <w:rsid w:val="002D12E6"/>
    <w:rsid w:val="002D1F85"/>
    <w:rsid w:val="002D207D"/>
    <w:rsid w:val="002D21AA"/>
    <w:rsid w:val="002D2AAD"/>
    <w:rsid w:val="002D2C3C"/>
    <w:rsid w:val="002D3079"/>
    <w:rsid w:val="002D3260"/>
    <w:rsid w:val="002D32FA"/>
    <w:rsid w:val="002D3657"/>
    <w:rsid w:val="002D37B4"/>
    <w:rsid w:val="002D41B7"/>
    <w:rsid w:val="002D4601"/>
    <w:rsid w:val="002D46C5"/>
    <w:rsid w:val="002D4CBA"/>
    <w:rsid w:val="002D4EF4"/>
    <w:rsid w:val="002D4EFF"/>
    <w:rsid w:val="002D5037"/>
    <w:rsid w:val="002D5812"/>
    <w:rsid w:val="002D5A58"/>
    <w:rsid w:val="002D5B76"/>
    <w:rsid w:val="002D65F8"/>
    <w:rsid w:val="002D682B"/>
    <w:rsid w:val="002D6919"/>
    <w:rsid w:val="002D717A"/>
    <w:rsid w:val="002D78EC"/>
    <w:rsid w:val="002D7FB1"/>
    <w:rsid w:val="002E07D8"/>
    <w:rsid w:val="002E083A"/>
    <w:rsid w:val="002E0941"/>
    <w:rsid w:val="002E0B78"/>
    <w:rsid w:val="002E0DAF"/>
    <w:rsid w:val="002E1082"/>
    <w:rsid w:val="002E13EB"/>
    <w:rsid w:val="002E1BA5"/>
    <w:rsid w:val="002E1D96"/>
    <w:rsid w:val="002E1DA1"/>
    <w:rsid w:val="002E24D6"/>
    <w:rsid w:val="002E268B"/>
    <w:rsid w:val="002E2E7F"/>
    <w:rsid w:val="002E2EC1"/>
    <w:rsid w:val="002E3291"/>
    <w:rsid w:val="002E32D5"/>
    <w:rsid w:val="002E32FE"/>
    <w:rsid w:val="002E47DB"/>
    <w:rsid w:val="002E4DC4"/>
    <w:rsid w:val="002E4E96"/>
    <w:rsid w:val="002E5FFB"/>
    <w:rsid w:val="002E6096"/>
    <w:rsid w:val="002E6826"/>
    <w:rsid w:val="002E6B19"/>
    <w:rsid w:val="002E6B91"/>
    <w:rsid w:val="002E6C93"/>
    <w:rsid w:val="002E71E8"/>
    <w:rsid w:val="002E72AA"/>
    <w:rsid w:val="002E7460"/>
    <w:rsid w:val="002E7522"/>
    <w:rsid w:val="002E7628"/>
    <w:rsid w:val="002E7B54"/>
    <w:rsid w:val="002E7D58"/>
    <w:rsid w:val="002E7E59"/>
    <w:rsid w:val="002E7F8A"/>
    <w:rsid w:val="002E7FBB"/>
    <w:rsid w:val="002F14FB"/>
    <w:rsid w:val="002F177F"/>
    <w:rsid w:val="002F17B1"/>
    <w:rsid w:val="002F1856"/>
    <w:rsid w:val="002F2328"/>
    <w:rsid w:val="002F261D"/>
    <w:rsid w:val="002F29E9"/>
    <w:rsid w:val="002F2E4A"/>
    <w:rsid w:val="002F30E8"/>
    <w:rsid w:val="002F3876"/>
    <w:rsid w:val="002F3C08"/>
    <w:rsid w:val="002F489F"/>
    <w:rsid w:val="002F50D4"/>
    <w:rsid w:val="002F59AA"/>
    <w:rsid w:val="002F5ADC"/>
    <w:rsid w:val="002F5E68"/>
    <w:rsid w:val="002F63EA"/>
    <w:rsid w:val="002F6639"/>
    <w:rsid w:val="002F663E"/>
    <w:rsid w:val="002F6BE5"/>
    <w:rsid w:val="002F6CDF"/>
    <w:rsid w:val="002F71B4"/>
    <w:rsid w:val="002F7458"/>
    <w:rsid w:val="002F751D"/>
    <w:rsid w:val="002F7541"/>
    <w:rsid w:val="002F7962"/>
    <w:rsid w:val="002F799D"/>
    <w:rsid w:val="002F7CFD"/>
    <w:rsid w:val="003005D1"/>
    <w:rsid w:val="003012ED"/>
    <w:rsid w:val="00301329"/>
    <w:rsid w:val="003013A3"/>
    <w:rsid w:val="00301532"/>
    <w:rsid w:val="0030158E"/>
    <w:rsid w:val="00301667"/>
    <w:rsid w:val="003016B3"/>
    <w:rsid w:val="00301D69"/>
    <w:rsid w:val="003020FE"/>
    <w:rsid w:val="003023AA"/>
    <w:rsid w:val="0030291F"/>
    <w:rsid w:val="00302B4E"/>
    <w:rsid w:val="00302C59"/>
    <w:rsid w:val="003031C2"/>
    <w:rsid w:val="003033BB"/>
    <w:rsid w:val="003033E5"/>
    <w:rsid w:val="00303794"/>
    <w:rsid w:val="0030420F"/>
    <w:rsid w:val="00304632"/>
    <w:rsid w:val="003053FB"/>
    <w:rsid w:val="003058D8"/>
    <w:rsid w:val="00306713"/>
    <w:rsid w:val="00306B08"/>
    <w:rsid w:val="00307701"/>
    <w:rsid w:val="0030797E"/>
    <w:rsid w:val="00307BB4"/>
    <w:rsid w:val="0031002A"/>
    <w:rsid w:val="00310708"/>
    <w:rsid w:val="00310D14"/>
    <w:rsid w:val="00310FA1"/>
    <w:rsid w:val="0031107B"/>
    <w:rsid w:val="00311386"/>
    <w:rsid w:val="003113F6"/>
    <w:rsid w:val="00311986"/>
    <w:rsid w:val="0031278C"/>
    <w:rsid w:val="003131A9"/>
    <w:rsid w:val="003135C9"/>
    <w:rsid w:val="00313BF3"/>
    <w:rsid w:val="00313C68"/>
    <w:rsid w:val="00314374"/>
    <w:rsid w:val="00314557"/>
    <w:rsid w:val="00314764"/>
    <w:rsid w:val="00314842"/>
    <w:rsid w:val="00314AE8"/>
    <w:rsid w:val="00314DD3"/>
    <w:rsid w:val="003153AD"/>
    <w:rsid w:val="00315766"/>
    <w:rsid w:val="00315B07"/>
    <w:rsid w:val="00315C96"/>
    <w:rsid w:val="0031627F"/>
    <w:rsid w:val="00316566"/>
    <w:rsid w:val="00316582"/>
    <w:rsid w:val="0031719B"/>
    <w:rsid w:val="00317609"/>
    <w:rsid w:val="003178D4"/>
    <w:rsid w:val="00317A95"/>
    <w:rsid w:val="00320068"/>
    <w:rsid w:val="0032089E"/>
    <w:rsid w:val="00320B49"/>
    <w:rsid w:val="003211B8"/>
    <w:rsid w:val="0032130F"/>
    <w:rsid w:val="00321358"/>
    <w:rsid w:val="00321436"/>
    <w:rsid w:val="00321BC2"/>
    <w:rsid w:val="00321BF9"/>
    <w:rsid w:val="00321F75"/>
    <w:rsid w:val="00322229"/>
    <w:rsid w:val="00322258"/>
    <w:rsid w:val="003223CC"/>
    <w:rsid w:val="0032245D"/>
    <w:rsid w:val="003224D4"/>
    <w:rsid w:val="00322755"/>
    <w:rsid w:val="00322E9D"/>
    <w:rsid w:val="00323318"/>
    <w:rsid w:val="00323B90"/>
    <w:rsid w:val="00323DE6"/>
    <w:rsid w:val="00323E5E"/>
    <w:rsid w:val="00323F55"/>
    <w:rsid w:val="00324082"/>
    <w:rsid w:val="00324223"/>
    <w:rsid w:val="0032524D"/>
    <w:rsid w:val="00325AED"/>
    <w:rsid w:val="00325D59"/>
    <w:rsid w:val="00326160"/>
    <w:rsid w:val="0032621B"/>
    <w:rsid w:val="003262B4"/>
    <w:rsid w:val="00326959"/>
    <w:rsid w:val="00326C55"/>
    <w:rsid w:val="0032705C"/>
    <w:rsid w:val="00327266"/>
    <w:rsid w:val="003279F3"/>
    <w:rsid w:val="00327A06"/>
    <w:rsid w:val="00327F01"/>
    <w:rsid w:val="00330082"/>
    <w:rsid w:val="003300FE"/>
    <w:rsid w:val="00330B21"/>
    <w:rsid w:val="00330EC2"/>
    <w:rsid w:val="003311F9"/>
    <w:rsid w:val="00331504"/>
    <w:rsid w:val="003327E5"/>
    <w:rsid w:val="0033285C"/>
    <w:rsid w:val="00332E51"/>
    <w:rsid w:val="00332E9A"/>
    <w:rsid w:val="00333720"/>
    <w:rsid w:val="00333771"/>
    <w:rsid w:val="00333981"/>
    <w:rsid w:val="00333BCC"/>
    <w:rsid w:val="00334032"/>
    <w:rsid w:val="00334080"/>
    <w:rsid w:val="00334141"/>
    <w:rsid w:val="00334252"/>
    <w:rsid w:val="003345EF"/>
    <w:rsid w:val="0033465E"/>
    <w:rsid w:val="00334A28"/>
    <w:rsid w:val="00334CAE"/>
    <w:rsid w:val="00334E8C"/>
    <w:rsid w:val="00335145"/>
    <w:rsid w:val="0033603F"/>
    <w:rsid w:val="00336450"/>
    <w:rsid w:val="00336694"/>
    <w:rsid w:val="00336C24"/>
    <w:rsid w:val="00336C4B"/>
    <w:rsid w:val="00336D92"/>
    <w:rsid w:val="003375F8"/>
    <w:rsid w:val="00337652"/>
    <w:rsid w:val="003376EE"/>
    <w:rsid w:val="00337E7A"/>
    <w:rsid w:val="00340111"/>
    <w:rsid w:val="00340804"/>
    <w:rsid w:val="003408D9"/>
    <w:rsid w:val="003417EF"/>
    <w:rsid w:val="00341EC0"/>
    <w:rsid w:val="00342001"/>
    <w:rsid w:val="0034215C"/>
    <w:rsid w:val="00342DD1"/>
    <w:rsid w:val="00343EC8"/>
    <w:rsid w:val="00344320"/>
    <w:rsid w:val="003448FF"/>
    <w:rsid w:val="003450D6"/>
    <w:rsid w:val="00345307"/>
    <w:rsid w:val="0034588C"/>
    <w:rsid w:val="00345B54"/>
    <w:rsid w:val="00345D32"/>
    <w:rsid w:val="003460AB"/>
    <w:rsid w:val="0034676E"/>
    <w:rsid w:val="0034768A"/>
    <w:rsid w:val="00347E81"/>
    <w:rsid w:val="003505E4"/>
    <w:rsid w:val="00350BF5"/>
    <w:rsid w:val="00350BF6"/>
    <w:rsid w:val="003512B5"/>
    <w:rsid w:val="003512E0"/>
    <w:rsid w:val="003517B3"/>
    <w:rsid w:val="00351934"/>
    <w:rsid w:val="00351C2B"/>
    <w:rsid w:val="00351D38"/>
    <w:rsid w:val="00351D8B"/>
    <w:rsid w:val="00351FB8"/>
    <w:rsid w:val="00351FE2"/>
    <w:rsid w:val="00352027"/>
    <w:rsid w:val="003523F6"/>
    <w:rsid w:val="0035274F"/>
    <w:rsid w:val="003529CB"/>
    <w:rsid w:val="00353040"/>
    <w:rsid w:val="00353056"/>
    <w:rsid w:val="00353848"/>
    <w:rsid w:val="0035435E"/>
    <w:rsid w:val="003548DD"/>
    <w:rsid w:val="00355418"/>
    <w:rsid w:val="00355760"/>
    <w:rsid w:val="00355918"/>
    <w:rsid w:val="00355CBC"/>
    <w:rsid w:val="00355D45"/>
    <w:rsid w:val="00355ED7"/>
    <w:rsid w:val="003565C7"/>
    <w:rsid w:val="003567D2"/>
    <w:rsid w:val="0035701E"/>
    <w:rsid w:val="00357027"/>
    <w:rsid w:val="003575A9"/>
    <w:rsid w:val="00357715"/>
    <w:rsid w:val="003577CF"/>
    <w:rsid w:val="003577E3"/>
    <w:rsid w:val="003601E2"/>
    <w:rsid w:val="00360307"/>
    <w:rsid w:val="00360370"/>
    <w:rsid w:val="0036040C"/>
    <w:rsid w:val="00360FD6"/>
    <w:rsid w:val="00361DD6"/>
    <w:rsid w:val="003620F4"/>
    <w:rsid w:val="0036243A"/>
    <w:rsid w:val="00362715"/>
    <w:rsid w:val="00362925"/>
    <w:rsid w:val="00362B78"/>
    <w:rsid w:val="003630CF"/>
    <w:rsid w:val="00363128"/>
    <w:rsid w:val="00363154"/>
    <w:rsid w:val="00363196"/>
    <w:rsid w:val="00363351"/>
    <w:rsid w:val="003635F4"/>
    <w:rsid w:val="003639AA"/>
    <w:rsid w:val="003644C6"/>
    <w:rsid w:val="00364DF1"/>
    <w:rsid w:val="00364FC0"/>
    <w:rsid w:val="0036575E"/>
    <w:rsid w:val="00365C67"/>
    <w:rsid w:val="003660B3"/>
    <w:rsid w:val="00366232"/>
    <w:rsid w:val="003665DB"/>
    <w:rsid w:val="00366779"/>
    <w:rsid w:val="003668E3"/>
    <w:rsid w:val="00366E1E"/>
    <w:rsid w:val="00370070"/>
    <w:rsid w:val="00370210"/>
    <w:rsid w:val="00370C02"/>
    <w:rsid w:val="00371060"/>
    <w:rsid w:val="0037163B"/>
    <w:rsid w:val="00371675"/>
    <w:rsid w:val="0037181F"/>
    <w:rsid w:val="00372B91"/>
    <w:rsid w:val="00373075"/>
    <w:rsid w:val="0037372B"/>
    <w:rsid w:val="003738EB"/>
    <w:rsid w:val="003741A0"/>
    <w:rsid w:val="003743C8"/>
    <w:rsid w:val="00374F7B"/>
    <w:rsid w:val="003751C9"/>
    <w:rsid w:val="00375C6D"/>
    <w:rsid w:val="003761C5"/>
    <w:rsid w:val="00376289"/>
    <w:rsid w:val="00376423"/>
    <w:rsid w:val="0037682D"/>
    <w:rsid w:val="00376E53"/>
    <w:rsid w:val="00377091"/>
    <w:rsid w:val="003770B5"/>
    <w:rsid w:val="0037719D"/>
    <w:rsid w:val="00377402"/>
    <w:rsid w:val="0037741C"/>
    <w:rsid w:val="00377D1A"/>
    <w:rsid w:val="00377DBD"/>
    <w:rsid w:val="003806D7"/>
    <w:rsid w:val="00380893"/>
    <w:rsid w:val="003814A2"/>
    <w:rsid w:val="00381F8E"/>
    <w:rsid w:val="003823BF"/>
    <w:rsid w:val="003826E0"/>
    <w:rsid w:val="00382A56"/>
    <w:rsid w:val="00382AA6"/>
    <w:rsid w:val="00382ABC"/>
    <w:rsid w:val="00383C04"/>
    <w:rsid w:val="00383D3C"/>
    <w:rsid w:val="00383D9C"/>
    <w:rsid w:val="00384865"/>
    <w:rsid w:val="003849BA"/>
    <w:rsid w:val="00384FC6"/>
    <w:rsid w:val="003851C6"/>
    <w:rsid w:val="0038544F"/>
    <w:rsid w:val="0038555F"/>
    <w:rsid w:val="00385CCC"/>
    <w:rsid w:val="00385F51"/>
    <w:rsid w:val="00385FAD"/>
    <w:rsid w:val="0038604F"/>
    <w:rsid w:val="003865FD"/>
    <w:rsid w:val="0038759F"/>
    <w:rsid w:val="00387E07"/>
    <w:rsid w:val="003902A4"/>
    <w:rsid w:val="003904F3"/>
    <w:rsid w:val="00391641"/>
    <w:rsid w:val="003918A8"/>
    <w:rsid w:val="00393323"/>
    <w:rsid w:val="00393A36"/>
    <w:rsid w:val="00393A5E"/>
    <w:rsid w:val="00393AEF"/>
    <w:rsid w:val="00394B59"/>
    <w:rsid w:val="00395182"/>
    <w:rsid w:val="00395B6A"/>
    <w:rsid w:val="00396010"/>
    <w:rsid w:val="00396DA6"/>
    <w:rsid w:val="0039717D"/>
    <w:rsid w:val="00397508"/>
    <w:rsid w:val="003A0710"/>
    <w:rsid w:val="003A08ED"/>
    <w:rsid w:val="003A0ACC"/>
    <w:rsid w:val="003A0C0B"/>
    <w:rsid w:val="003A12D6"/>
    <w:rsid w:val="003A12DD"/>
    <w:rsid w:val="003A16D6"/>
    <w:rsid w:val="003A1769"/>
    <w:rsid w:val="003A1812"/>
    <w:rsid w:val="003A1E6D"/>
    <w:rsid w:val="003A1F63"/>
    <w:rsid w:val="003A1F6C"/>
    <w:rsid w:val="003A2C94"/>
    <w:rsid w:val="003A3322"/>
    <w:rsid w:val="003A3ACB"/>
    <w:rsid w:val="003A3CF2"/>
    <w:rsid w:val="003A3F10"/>
    <w:rsid w:val="003A4061"/>
    <w:rsid w:val="003A445D"/>
    <w:rsid w:val="003A45F9"/>
    <w:rsid w:val="003A4FA6"/>
    <w:rsid w:val="003A51CA"/>
    <w:rsid w:val="003A53AE"/>
    <w:rsid w:val="003A5457"/>
    <w:rsid w:val="003A5492"/>
    <w:rsid w:val="003A5621"/>
    <w:rsid w:val="003A5AA3"/>
    <w:rsid w:val="003A61A4"/>
    <w:rsid w:val="003A69E9"/>
    <w:rsid w:val="003A6B06"/>
    <w:rsid w:val="003A6B54"/>
    <w:rsid w:val="003A6B9B"/>
    <w:rsid w:val="003A6FA7"/>
    <w:rsid w:val="003A72D1"/>
    <w:rsid w:val="003A7377"/>
    <w:rsid w:val="003A73D1"/>
    <w:rsid w:val="003A7730"/>
    <w:rsid w:val="003A7A39"/>
    <w:rsid w:val="003A7D3F"/>
    <w:rsid w:val="003B0115"/>
    <w:rsid w:val="003B01C6"/>
    <w:rsid w:val="003B16B0"/>
    <w:rsid w:val="003B17C3"/>
    <w:rsid w:val="003B1DD9"/>
    <w:rsid w:val="003B2CD3"/>
    <w:rsid w:val="003B2DB4"/>
    <w:rsid w:val="003B3104"/>
    <w:rsid w:val="003B3188"/>
    <w:rsid w:val="003B33EC"/>
    <w:rsid w:val="003B423B"/>
    <w:rsid w:val="003B4348"/>
    <w:rsid w:val="003B44D9"/>
    <w:rsid w:val="003B47E7"/>
    <w:rsid w:val="003B50D2"/>
    <w:rsid w:val="003B5869"/>
    <w:rsid w:val="003B5AEA"/>
    <w:rsid w:val="003B5C33"/>
    <w:rsid w:val="003B5FC6"/>
    <w:rsid w:val="003B6D35"/>
    <w:rsid w:val="003B7519"/>
    <w:rsid w:val="003B7B39"/>
    <w:rsid w:val="003C015C"/>
    <w:rsid w:val="003C03AB"/>
    <w:rsid w:val="003C045E"/>
    <w:rsid w:val="003C08C8"/>
    <w:rsid w:val="003C0AE3"/>
    <w:rsid w:val="003C0DF4"/>
    <w:rsid w:val="003C15C8"/>
    <w:rsid w:val="003C3542"/>
    <w:rsid w:val="003C354F"/>
    <w:rsid w:val="003C3719"/>
    <w:rsid w:val="003C3AC9"/>
    <w:rsid w:val="003C3F45"/>
    <w:rsid w:val="003C4249"/>
    <w:rsid w:val="003C437A"/>
    <w:rsid w:val="003C492B"/>
    <w:rsid w:val="003C49A5"/>
    <w:rsid w:val="003C4B9E"/>
    <w:rsid w:val="003C533A"/>
    <w:rsid w:val="003C53DB"/>
    <w:rsid w:val="003C5593"/>
    <w:rsid w:val="003C5C98"/>
    <w:rsid w:val="003C5E04"/>
    <w:rsid w:val="003C6AD8"/>
    <w:rsid w:val="003C6C49"/>
    <w:rsid w:val="003C6C85"/>
    <w:rsid w:val="003C6DB6"/>
    <w:rsid w:val="003C747F"/>
    <w:rsid w:val="003C7BC0"/>
    <w:rsid w:val="003C7DCE"/>
    <w:rsid w:val="003D0452"/>
    <w:rsid w:val="003D228B"/>
    <w:rsid w:val="003D2860"/>
    <w:rsid w:val="003D3726"/>
    <w:rsid w:val="003D3AC8"/>
    <w:rsid w:val="003D3C41"/>
    <w:rsid w:val="003D3CF3"/>
    <w:rsid w:val="003D4627"/>
    <w:rsid w:val="003D4B79"/>
    <w:rsid w:val="003D56BD"/>
    <w:rsid w:val="003D5F79"/>
    <w:rsid w:val="003D6335"/>
    <w:rsid w:val="003D64EC"/>
    <w:rsid w:val="003D64ED"/>
    <w:rsid w:val="003D656D"/>
    <w:rsid w:val="003D668B"/>
    <w:rsid w:val="003D6AAC"/>
    <w:rsid w:val="003D6B5C"/>
    <w:rsid w:val="003D6D01"/>
    <w:rsid w:val="003D6EE7"/>
    <w:rsid w:val="003D746C"/>
    <w:rsid w:val="003D7493"/>
    <w:rsid w:val="003D778C"/>
    <w:rsid w:val="003D7B6C"/>
    <w:rsid w:val="003E0137"/>
    <w:rsid w:val="003E09B3"/>
    <w:rsid w:val="003E0B65"/>
    <w:rsid w:val="003E1227"/>
    <w:rsid w:val="003E12D9"/>
    <w:rsid w:val="003E1A70"/>
    <w:rsid w:val="003E1F85"/>
    <w:rsid w:val="003E20D7"/>
    <w:rsid w:val="003E2CAB"/>
    <w:rsid w:val="003E2F57"/>
    <w:rsid w:val="003E2F5B"/>
    <w:rsid w:val="003E3756"/>
    <w:rsid w:val="003E378D"/>
    <w:rsid w:val="003E3E2C"/>
    <w:rsid w:val="003E3ED7"/>
    <w:rsid w:val="003E4289"/>
    <w:rsid w:val="003E45C1"/>
    <w:rsid w:val="003E468E"/>
    <w:rsid w:val="003E480B"/>
    <w:rsid w:val="003E498D"/>
    <w:rsid w:val="003E4A74"/>
    <w:rsid w:val="003E4D0D"/>
    <w:rsid w:val="003E4D6B"/>
    <w:rsid w:val="003E56FE"/>
    <w:rsid w:val="003E5974"/>
    <w:rsid w:val="003E5E66"/>
    <w:rsid w:val="003E606C"/>
    <w:rsid w:val="003E60A3"/>
    <w:rsid w:val="003E669C"/>
    <w:rsid w:val="003E67BD"/>
    <w:rsid w:val="003E6F9B"/>
    <w:rsid w:val="003E72FE"/>
    <w:rsid w:val="003E740B"/>
    <w:rsid w:val="003E75A5"/>
    <w:rsid w:val="003E7F7C"/>
    <w:rsid w:val="003F00C8"/>
    <w:rsid w:val="003F035E"/>
    <w:rsid w:val="003F0424"/>
    <w:rsid w:val="003F084F"/>
    <w:rsid w:val="003F08CA"/>
    <w:rsid w:val="003F0B5D"/>
    <w:rsid w:val="003F1275"/>
    <w:rsid w:val="003F226C"/>
    <w:rsid w:val="003F22CD"/>
    <w:rsid w:val="003F25DA"/>
    <w:rsid w:val="003F2A28"/>
    <w:rsid w:val="003F332D"/>
    <w:rsid w:val="003F39D1"/>
    <w:rsid w:val="003F3C6D"/>
    <w:rsid w:val="003F3CD4"/>
    <w:rsid w:val="003F417E"/>
    <w:rsid w:val="003F42C6"/>
    <w:rsid w:val="003F452D"/>
    <w:rsid w:val="003F4BED"/>
    <w:rsid w:val="003F4CA0"/>
    <w:rsid w:val="003F4FE5"/>
    <w:rsid w:val="003F50D9"/>
    <w:rsid w:val="003F5743"/>
    <w:rsid w:val="003F595C"/>
    <w:rsid w:val="003F6119"/>
    <w:rsid w:val="003F6875"/>
    <w:rsid w:val="003F6B2C"/>
    <w:rsid w:val="003F6C81"/>
    <w:rsid w:val="003F6E67"/>
    <w:rsid w:val="003F7953"/>
    <w:rsid w:val="003F7B35"/>
    <w:rsid w:val="004003EC"/>
    <w:rsid w:val="00400784"/>
    <w:rsid w:val="004007EF"/>
    <w:rsid w:val="00400A7D"/>
    <w:rsid w:val="00400C87"/>
    <w:rsid w:val="0040102A"/>
    <w:rsid w:val="00402636"/>
    <w:rsid w:val="00402699"/>
    <w:rsid w:val="00402C1D"/>
    <w:rsid w:val="004031A5"/>
    <w:rsid w:val="0040393C"/>
    <w:rsid w:val="00403CDF"/>
    <w:rsid w:val="004049E9"/>
    <w:rsid w:val="004058F2"/>
    <w:rsid w:val="00405ED7"/>
    <w:rsid w:val="004062D5"/>
    <w:rsid w:val="004064E0"/>
    <w:rsid w:val="00406EBE"/>
    <w:rsid w:val="0040790D"/>
    <w:rsid w:val="00407A4B"/>
    <w:rsid w:val="00407F89"/>
    <w:rsid w:val="00407FE4"/>
    <w:rsid w:val="0041049A"/>
    <w:rsid w:val="0041061D"/>
    <w:rsid w:val="004113F1"/>
    <w:rsid w:val="004125E3"/>
    <w:rsid w:val="00412C17"/>
    <w:rsid w:val="00413BE3"/>
    <w:rsid w:val="00413DC1"/>
    <w:rsid w:val="004143E5"/>
    <w:rsid w:val="004148BE"/>
    <w:rsid w:val="00414CA1"/>
    <w:rsid w:val="00414CB0"/>
    <w:rsid w:val="00415B5C"/>
    <w:rsid w:val="00415DAD"/>
    <w:rsid w:val="00415DB8"/>
    <w:rsid w:val="00415FE3"/>
    <w:rsid w:val="004160B2"/>
    <w:rsid w:val="0041612D"/>
    <w:rsid w:val="00416675"/>
    <w:rsid w:val="00416801"/>
    <w:rsid w:val="00416E17"/>
    <w:rsid w:val="00417484"/>
    <w:rsid w:val="004175AB"/>
    <w:rsid w:val="004175E5"/>
    <w:rsid w:val="00417634"/>
    <w:rsid w:val="00417E73"/>
    <w:rsid w:val="004200C1"/>
    <w:rsid w:val="00420204"/>
    <w:rsid w:val="004203E7"/>
    <w:rsid w:val="004208D1"/>
    <w:rsid w:val="00420BE2"/>
    <w:rsid w:val="00420C5A"/>
    <w:rsid w:val="00420DE3"/>
    <w:rsid w:val="00421211"/>
    <w:rsid w:val="0042163D"/>
    <w:rsid w:val="00421C2E"/>
    <w:rsid w:val="00421DFF"/>
    <w:rsid w:val="00421E2F"/>
    <w:rsid w:val="00421EF3"/>
    <w:rsid w:val="00421F99"/>
    <w:rsid w:val="00422485"/>
    <w:rsid w:val="004225DC"/>
    <w:rsid w:val="00422610"/>
    <w:rsid w:val="00422BCD"/>
    <w:rsid w:val="00422C3B"/>
    <w:rsid w:val="00422DDE"/>
    <w:rsid w:val="0042355A"/>
    <w:rsid w:val="00423807"/>
    <w:rsid w:val="00423A06"/>
    <w:rsid w:val="00423E66"/>
    <w:rsid w:val="00423ECC"/>
    <w:rsid w:val="00423FBB"/>
    <w:rsid w:val="00423FE4"/>
    <w:rsid w:val="00424673"/>
    <w:rsid w:val="0042483F"/>
    <w:rsid w:val="00424BDA"/>
    <w:rsid w:val="00424D73"/>
    <w:rsid w:val="0042511E"/>
    <w:rsid w:val="004254C9"/>
    <w:rsid w:val="00425CC1"/>
    <w:rsid w:val="00425FCB"/>
    <w:rsid w:val="004260EC"/>
    <w:rsid w:val="00426143"/>
    <w:rsid w:val="00426B03"/>
    <w:rsid w:val="00426B25"/>
    <w:rsid w:val="00426E95"/>
    <w:rsid w:val="00426F60"/>
    <w:rsid w:val="0042757B"/>
    <w:rsid w:val="0042766E"/>
    <w:rsid w:val="00427A5B"/>
    <w:rsid w:val="00427F26"/>
    <w:rsid w:val="00430496"/>
    <w:rsid w:val="004305ED"/>
    <w:rsid w:val="00430874"/>
    <w:rsid w:val="00432534"/>
    <w:rsid w:val="00432CBE"/>
    <w:rsid w:val="004330BC"/>
    <w:rsid w:val="004331F9"/>
    <w:rsid w:val="00433636"/>
    <w:rsid w:val="004337C8"/>
    <w:rsid w:val="0043392E"/>
    <w:rsid w:val="0043395B"/>
    <w:rsid w:val="00435543"/>
    <w:rsid w:val="00435F21"/>
    <w:rsid w:val="00437648"/>
    <w:rsid w:val="004400F1"/>
    <w:rsid w:val="00440251"/>
    <w:rsid w:val="004405AC"/>
    <w:rsid w:val="00440705"/>
    <w:rsid w:val="00440B25"/>
    <w:rsid w:val="00440EED"/>
    <w:rsid w:val="00441324"/>
    <w:rsid w:val="00441A92"/>
    <w:rsid w:val="00441D1C"/>
    <w:rsid w:val="00441E85"/>
    <w:rsid w:val="0044202A"/>
    <w:rsid w:val="0044206F"/>
    <w:rsid w:val="00442B56"/>
    <w:rsid w:val="00442CE1"/>
    <w:rsid w:val="00442FD8"/>
    <w:rsid w:val="004435AE"/>
    <w:rsid w:val="004435BC"/>
    <w:rsid w:val="00443746"/>
    <w:rsid w:val="00443A66"/>
    <w:rsid w:val="004440BC"/>
    <w:rsid w:val="00444267"/>
    <w:rsid w:val="00444767"/>
    <w:rsid w:val="00444E3B"/>
    <w:rsid w:val="00445906"/>
    <w:rsid w:val="00447451"/>
    <w:rsid w:val="00447512"/>
    <w:rsid w:val="00447955"/>
    <w:rsid w:val="004503F5"/>
    <w:rsid w:val="004504C8"/>
    <w:rsid w:val="004508E0"/>
    <w:rsid w:val="004509D9"/>
    <w:rsid w:val="00451D33"/>
    <w:rsid w:val="004521CD"/>
    <w:rsid w:val="0045243F"/>
    <w:rsid w:val="00452878"/>
    <w:rsid w:val="00452AC7"/>
    <w:rsid w:val="00452F8D"/>
    <w:rsid w:val="00453015"/>
    <w:rsid w:val="0045322B"/>
    <w:rsid w:val="004534BB"/>
    <w:rsid w:val="0045365E"/>
    <w:rsid w:val="00454A75"/>
    <w:rsid w:val="00454C65"/>
    <w:rsid w:val="00454C6C"/>
    <w:rsid w:val="00454EDF"/>
    <w:rsid w:val="004555AA"/>
    <w:rsid w:val="004559DB"/>
    <w:rsid w:val="00455AA7"/>
    <w:rsid w:val="00460956"/>
    <w:rsid w:val="00460F91"/>
    <w:rsid w:val="00460F95"/>
    <w:rsid w:val="00461160"/>
    <w:rsid w:val="00461B0C"/>
    <w:rsid w:val="00461B1D"/>
    <w:rsid w:val="00461ED2"/>
    <w:rsid w:val="00462169"/>
    <w:rsid w:val="0046227F"/>
    <w:rsid w:val="004623E3"/>
    <w:rsid w:val="00462EC6"/>
    <w:rsid w:val="00463119"/>
    <w:rsid w:val="00463188"/>
    <w:rsid w:val="00463D42"/>
    <w:rsid w:val="004641B4"/>
    <w:rsid w:val="00464504"/>
    <w:rsid w:val="00464D4C"/>
    <w:rsid w:val="00464D5C"/>
    <w:rsid w:val="00464F6C"/>
    <w:rsid w:val="004659CF"/>
    <w:rsid w:val="00465C13"/>
    <w:rsid w:val="00466013"/>
    <w:rsid w:val="004664F6"/>
    <w:rsid w:val="0046669E"/>
    <w:rsid w:val="00466922"/>
    <w:rsid w:val="00466AC4"/>
    <w:rsid w:val="00466E4D"/>
    <w:rsid w:val="00466FB9"/>
    <w:rsid w:val="00467A22"/>
    <w:rsid w:val="00467DF4"/>
    <w:rsid w:val="00467E03"/>
    <w:rsid w:val="00470F6E"/>
    <w:rsid w:val="004717D0"/>
    <w:rsid w:val="00471847"/>
    <w:rsid w:val="004729FC"/>
    <w:rsid w:val="00473087"/>
    <w:rsid w:val="00473173"/>
    <w:rsid w:val="0047322A"/>
    <w:rsid w:val="004733F6"/>
    <w:rsid w:val="004735AF"/>
    <w:rsid w:val="004736E2"/>
    <w:rsid w:val="004738EB"/>
    <w:rsid w:val="004739E4"/>
    <w:rsid w:val="00473A88"/>
    <w:rsid w:val="00473D25"/>
    <w:rsid w:val="00473F37"/>
    <w:rsid w:val="004747A2"/>
    <w:rsid w:val="00474FEE"/>
    <w:rsid w:val="004752C4"/>
    <w:rsid w:val="00475588"/>
    <w:rsid w:val="00476295"/>
    <w:rsid w:val="0047663D"/>
    <w:rsid w:val="0047668B"/>
    <w:rsid w:val="00476A54"/>
    <w:rsid w:val="00476B88"/>
    <w:rsid w:val="00476D60"/>
    <w:rsid w:val="00476E07"/>
    <w:rsid w:val="0047747A"/>
    <w:rsid w:val="0047756E"/>
    <w:rsid w:val="004776AA"/>
    <w:rsid w:val="00477B8E"/>
    <w:rsid w:val="00477C08"/>
    <w:rsid w:val="00477FC7"/>
    <w:rsid w:val="00480BAD"/>
    <w:rsid w:val="00480BC5"/>
    <w:rsid w:val="00480CE8"/>
    <w:rsid w:val="00481371"/>
    <w:rsid w:val="00481598"/>
    <w:rsid w:val="00481687"/>
    <w:rsid w:val="00481BB2"/>
    <w:rsid w:val="00481CB8"/>
    <w:rsid w:val="004820E9"/>
    <w:rsid w:val="00482724"/>
    <w:rsid w:val="00483363"/>
    <w:rsid w:val="004835FA"/>
    <w:rsid w:val="00483972"/>
    <w:rsid w:val="0048399D"/>
    <w:rsid w:val="004839B6"/>
    <w:rsid w:val="00483E32"/>
    <w:rsid w:val="00483E45"/>
    <w:rsid w:val="00483E6A"/>
    <w:rsid w:val="00483EB5"/>
    <w:rsid w:val="004845C7"/>
    <w:rsid w:val="00484ED0"/>
    <w:rsid w:val="00485086"/>
    <w:rsid w:val="00485182"/>
    <w:rsid w:val="004853E6"/>
    <w:rsid w:val="00485820"/>
    <w:rsid w:val="00485DA3"/>
    <w:rsid w:val="004865D0"/>
    <w:rsid w:val="0048718E"/>
    <w:rsid w:val="004874C2"/>
    <w:rsid w:val="00487CD4"/>
    <w:rsid w:val="00487DEC"/>
    <w:rsid w:val="00487FE5"/>
    <w:rsid w:val="00490507"/>
    <w:rsid w:val="0049093E"/>
    <w:rsid w:val="00490B7D"/>
    <w:rsid w:val="00490DC1"/>
    <w:rsid w:val="0049112E"/>
    <w:rsid w:val="00491523"/>
    <w:rsid w:val="00491834"/>
    <w:rsid w:val="0049196B"/>
    <w:rsid w:val="00492033"/>
    <w:rsid w:val="0049213C"/>
    <w:rsid w:val="00492267"/>
    <w:rsid w:val="00492F67"/>
    <w:rsid w:val="004930BD"/>
    <w:rsid w:val="00493A37"/>
    <w:rsid w:val="00493B36"/>
    <w:rsid w:val="00493C09"/>
    <w:rsid w:val="00493D85"/>
    <w:rsid w:val="00493F81"/>
    <w:rsid w:val="0049430E"/>
    <w:rsid w:val="00494519"/>
    <w:rsid w:val="00494E5D"/>
    <w:rsid w:val="00494FBC"/>
    <w:rsid w:val="004950CD"/>
    <w:rsid w:val="00495C08"/>
    <w:rsid w:val="00496427"/>
    <w:rsid w:val="004967FB"/>
    <w:rsid w:val="004973F3"/>
    <w:rsid w:val="0049744E"/>
    <w:rsid w:val="004979A5"/>
    <w:rsid w:val="00497F54"/>
    <w:rsid w:val="004A0355"/>
    <w:rsid w:val="004A048B"/>
    <w:rsid w:val="004A0836"/>
    <w:rsid w:val="004A0DB2"/>
    <w:rsid w:val="004A133A"/>
    <w:rsid w:val="004A182A"/>
    <w:rsid w:val="004A1BD1"/>
    <w:rsid w:val="004A1FBC"/>
    <w:rsid w:val="004A2D61"/>
    <w:rsid w:val="004A2F4B"/>
    <w:rsid w:val="004A3CAE"/>
    <w:rsid w:val="004A3FF0"/>
    <w:rsid w:val="004A41E9"/>
    <w:rsid w:val="004A441A"/>
    <w:rsid w:val="004A4B83"/>
    <w:rsid w:val="004A5066"/>
    <w:rsid w:val="004A53BA"/>
    <w:rsid w:val="004A594D"/>
    <w:rsid w:val="004A5A1F"/>
    <w:rsid w:val="004A5B8E"/>
    <w:rsid w:val="004A5C92"/>
    <w:rsid w:val="004A67F9"/>
    <w:rsid w:val="004A68AE"/>
    <w:rsid w:val="004A6A54"/>
    <w:rsid w:val="004A6C83"/>
    <w:rsid w:val="004A7033"/>
    <w:rsid w:val="004A72F0"/>
    <w:rsid w:val="004A763D"/>
    <w:rsid w:val="004A7716"/>
    <w:rsid w:val="004A7B9B"/>
    <w:rsid w:val="004A7BC4"/>
    <w:rsid w:val="004B0368"/>
    <w:rsid w:val="004B05A7"/>
    <w:rsid w:val="004B07DE"/>
    <w:rsid w:val="004B17D5"/>
    <w:rsid w:val="004B1CB4"/>
    <w:rsid w:val="004B1E63"/>
    <w:rsid w:val="004B23EC"/>
    <w:rsid w:val="004B2528"/>
    <w:rsid w:val="004B2BC4"/>
    <w:rsid w:val="004B2F5E"/>
    <w:rsid w:val="004B3148"/>
    <w:rsid w:val="004B3B23"/>
    <w:rsid w:val="004B3D21"/>
    <w:rsid w:val="004B4075"/>
    <w:rsid w:val="004B4230"/>
    <w:rsid w:val="004B42BE"/>
    <w:rsid w:val="004B4417"/>
    <w:rsid w:val="004B573E"/>
    <w:rsid w:val="004B583E"/>
    <w:rsid w:val="004B658A"/>
    <w:rsid w:val="004B67FF"/>
    <w:rsid w:val="004B6A3B"/>
    <w:rsid w:val="004B6A8C"/>
    <w:rsid w:val="004B6E30"/>
    <w:rsid w:val="004B6F57"/>
    <w:rsid w:val="004B72D7"/>
    <w:rsid w:val="004B737E"/>
    <w:rsid w:val="004B76B9"/>
    <w:rsid w:val="004C0184"/>
    <w:rsid w:val="004C05EA"/>
    <w:rsid w:val="004C063E"/>
    <w:rsid w:val="004C0932"/>
    <w:rsid w:val="004C164A"/>
    <w:rsid w:val="004C1755"/>
    <w:rsid w:val="004C25A3"/>
    <w:rsid w:val="004C2850"/>
    <w:rsid w:val="004C4267"/>
    <w:rsid w:val="004C4632"/>
    <w:rsid w:val="004C48CC"/>
    <w:rsid w:val="004C4CF0"/>
    <w:rsid w:val="004C6022"/>
    <w:rsid w:val="004C65F6"/>
    <w:rsid w:val="004C667C"/>
    <w:rsid w:val="004C66AC"/>
    <w:rsid w:val="004C6BA5"/>
    <w:rsid w:val="004C6D72"/>
    <w:rsid w:val="004C6E80"/>
    <w:rsid w:val="004C71D6"/>
    <w:rsid w:val="004C7387"/>
    <w:rsid w:val="004C7524"/>
    <w:rsid w:val="004C7673"/>
    <w:rsid w:val="004C7B7B"/>
    <w:rsid w:val="004C7E92"/>
    <w:rsid w:val="004D062F"/>
    <w:rsid w:val="004D097C"/>
    <w:rsid w:val="004D0B26"/>
    <w:rsid w:val="004D0C0B"/>
    <w:rsid w:val="004D0FB3"/>
    <w:rsid w:val="004D1C19"/>
    <w:rsid w:val="004D1E01"/>
    <w:rsid w:val="004D1ECE"/>
    <w:rsid w:val="004D2218"/>
    <w:rsid w:val="004D22F1"/>
    <w:rsid w:val="004D2AD3"/>
    <w:rsid w:val="004D2F27"/>
    <w:rsid w:val="004D3027"/>
    <w:rsid w:val="004D3518"/>
    <w:rsid w:val="004D4210"/>
    <w:rsid w:val="004D4A09"/>
    <w:rsid w:val="004D4D8A"/>
    <w:rsid w:val="004D5885"/>
    <w:rsid w:val="004D5B78"/>
    <w:rsid w:val="004D6000"/>
    <w:rsid w:val="004D61CD"/>
    <w:rsid w:val="004D68E5"/>
    <w:rsid w:val="004D6F1F"/>
    <w:rsid w:val="004D7073"/>
    <w:rsid w:val="004D70C5"/>
    <w:rsid w:val="004D7AE6"/>
    <w:rsid w:val="004D7F84"/>
    <w:rsid w:val="004E0441"/>
    <w:rsid w:val="004E055F"/>
    <w:rsid w:val="004E0A7D"/>
    <w:rsid w:val="004E0D16"/>
    <w:rsid w:val="004E0F18"/>
    <w:rsid w:val="004E108D"/>
    <w:rsid w:val="004E11EB"/>
    <w:rsid w:val="004E1234"/>
    <w:rsid w:val="004E177B"/>
    <w:rsid w:val="004E1D8C"/>
    <w:rsid w:val="004E2199"/>
    <w:rsid w:val="004E25FD"/>
    <w:rsid w:val="004E3209"/>
    <w:rsid w:val="004E3DDB"/>
    <w:rsid w:val="004E45E1"/>
    <w:rsid w:val="004E462A"/>
    <w:rsid w:val="004E4ECE"/>
    <w:rsid w:val="004E4EF4"/>
    <w:rsid w:val="004E4FD7"/>
    <w:rsid w:val="004E5B32"/>
    <w:rsid w:val="004E5E65"/>
    <w:rsid w:val="004E5FAA"/>
    <w:rsid w:val="004E622B"/>
    <w:rsid w:val="004E63D7"/>
    <w:rsid w:val="004E6A2C"/>
    <w:rsid w:val="004E7022"/>
    <w:rsid w:val="004E715F"/>
    <w:rsid w:val="004E79AE"/>
    <w:rsid w:val="004F1183"/>
    <w:rsid w:val="004F124E"/>
    <w:rsid w:val="004F1371"/>
    <w:rsid w:val="004F16DA"/>
    <w:rsid w:val="004F175E"/>
    <w:rsid w:val="004F1973"/>
    <w:rsid w:val="004F211E"/>
    <w:rsid w:val="004F294C"/>
    <w:rsid w:val="004F30A7"/>
    <w:rsid w:val="004F3121"/>
    <w:rsid w:val="004F33CC"/>
    <w:rsid w:val="004F3CD4"/>
    <w:rsid w:val="004F42FA"/>
    <w:rsid w:val="004F4A70"/>
    <w:rsid w:val="004F4AC2"/>
    <w:rsid w:val="004F4B0F"/>
    <w:rsid w:val="004F4E2C"/>
    <w:rsid w:val="004F4E7D"/>
    <w:rsid w:val="004F5B08"/>
    <w:rsid w:val="004F5E51"/>
    <w:rsid w:val="004F605B"/>
    <w:rsid w:val="004F6126"/>
    <w:rsid w:val="004F619F"/>
    <w:rsid w:val="004F69F3"/>
    <w:rsid w:val="004F6AAA"/>
    <w:rsid w:val="005004C4"/>
    <w:rsid w:val="0050071C"/>
    <w:rsid w:val="00500958"/>
    <w:rsid w:val="00500CF4"/>
    <w:rsid w:val="00501900"/>
    <w:rsid w:val="00501901"/>
    <w:rsid w:val="00502066"/>
    <w:rsid w:val="0050286E"/>
    <w:rsid w:val="00502913"/>
    <w:rsid w:val="00502AEC"/>
    <w:rsid w:val="00502D8C"/>
    <w:rsid w:val="00503750"/>
    <w:rsid w:val="005040B4"/>
    <w:rsid w:val="00504258"/>
    <w:rsid w:val="0050435B"/>
    <w:rsid w:val="005044F2"/>
    <w:rsid w:val="005045F6"/>
    <w:rsid w:val="00504900"/>
    <w:rsid w:val="00505067"/>
    <w:rsid w:val="00505541"/>
    <w:rsid w:val="00505586"/>
    <w:rsid w:val="00505747"/>
    <w:rsid w:val="00505BCC"/>
    <w:rsid w:val="00506F5E"/>
    <w:rsid w:val="005072C7"/>
    <w:rsid w:val="00507403"/>
    <w:rsid w:val="0051062D"/>
    <w:rsid w:val="0051071E"/>
    <w:rsid w:val="00510D3B"/>
    <w:rsid w:val="00511C9B"/>
    <w:rsid w:val="005125CE"/>
    <w:rsid w:val="00512606"/>
    <w:rsid w:val="00512629"/>
    <w:rsid w:val="00512801"/>
    <w:rsid w:val="00512F03"/>
    <w:rsid w:val="005130AD"/>
    <w:rsid w:val="005132FE"/>
    <w:rsid w:val="0051393B"/>
    <w:rsid w:val="00513DDA"/>
    <w:rsid w:val="0051466C"/>
    <w:rsid w:val="0051488B"/>
    <w:rsid w:val="00514A1F"/>
    <w:rsid w:val="00514C97"/>
    <w:rsid w:val="005150B6"/>
    <w:rsid w:val="005156C0"/>
    <w:rsid w:val="00515AAA"/>
    <w:rsid w:val="00515F79"/>
    <w:rsid w:val="00515FB8"/>
    <w:rsid w:val="00516D3F"/>
    <w:rsid w:val="00516F61"/>
    <w:rsid w:val="00517074"/>
    <w:rsid w:val="00517267"/>
    <w:rsid w:val="00517344"/>
    <w:rsid w:val="00517653"/>
    <w:rsid w:val="00517AAB"/>
    <w:rsid w:val="00517C5C"/>
    <w:rsid w:val="00517E80"/>
    <w:rsid w:val="005203C3"/>
    <w:rsid w:val="00520BED"/>
    <w:rsid w:val="0052203F"/>
    <w:rsid w:val="00522088"/>
    <w:rsid w:val="00522EA4"/>
    <w:rsid w:val="005231A9"/>
    <w:rsid w:val="005234D2"/>
    <w:rsid w:val="005244B8"/>
    <w:rsid w:val="00524626"/>
    <w:rsid w:val="005249D9"/>
    <w:rsid w:val="00524A1B"/>
    <w:rsid w:val="00524E8A"/>
    <w:rsid w:val="00525C7B"/>
    <w:rsid w:val="00525FDE"/>
    <w:rsid w:val="00525FEB"/>
    <w:rsid w:val="005262C8"/>
    <w:rsid w:val="00526C43"/>
    <w:rsid w:val="00526C4B"/>
    <w:rsid w:val="00526E57"/>
    <w:rsid w:val="00527251"/>
    <w:rsid w:val="0052726A"/>
    <w:rsid w:val="00527313"/>
    <w:rsid w:val="00527438"/>
    <w:rsid w:val="00527504"/>
    <w:rsid w:val="00527570"/>
    <w:rsid w:val="00527A41"/>
    <w:rsid w:val="00527D13"/>
    <w:rsid w:val="0053011A"/>
    <w:rsid w:val="00530315"/>
    <w:rsid w:val="0053060E"/>
    <w:rsid w:val="00530AA6"/>
    <w:rsid w:val="0053146C"/>
    <w:rsid w:val="0053155E"/>
    <w:rsid w:val="00531730"/>
    <w:rsid w:val="00532287"/>
    <w:rsid w:val="0053294C"/>
    <w:rsid w:val="005329BD"/>
    <w:rsid w:val="005330DA"/>
    <w:rsid w:val="0053368A"/>
    <w:rsid w:val="00533935"/>
    <w:rsid w:val="00533BEF"/>
    <w:rsid w:val="00533F86"/>
    <w:rsid w:val="00534018"/>
    <w:rsid w:val="00534442"/>
    <w:rsid w:val="005345B2"/>
    <w:rsid w:val="00534D7D"/>
    <w:rsid w:val="00534EF6"/>
    <w:rsid w:val="005352D2"/>
    <w:rsid w:val="005352E4"/>
    <w:rsid w:val="0053587A"/>
    <w:rsid w:val="00535908"/>
    <w:rsid w:val="00536025"/>
    <w:rsid w:val="005360C1"/>
    <w:rsid w:val="00536A19"/>
    <w:rsid w:val="00536A86"/>
    <w:rsid w:val="005373F6"/>
    <w:rsid w:val="005375ED"/>
    <w:rsid w:val="00537873"/>
    <w:rsid w:val="0053792F"/>
    <w:rsid w:val="00537B89"/>
    <w:rsid w:val="0054008E"/>
    <w:rsid w:val="00540251"/>
    <w:rsid w:val="005402A5"/>
    <w:rsid w:val="00540F1E"/>
    <w:rsid w:val="00540FC9"/>
    <w:rsid w:val="005414C1"/>
    <w:rsid w:val="005418F8"/>
    <w:rsid w:val="00541B2F"/>
    <w:rsid w:val="00542393"/>
    <w:rsid w:val="00542A18"/>
    <w:rsid w:val="00542CE3"/>
    <w:rsid w:val="00544483"/>
    <w:rsid w:val="005444C7"/>
    <w:rsid w:val="0054495F"/>
    <w:rsid w:val="00544972"/>
    <w:rsid w:val="0054499B"/>
    <w:rsid w:val="00544A5E"/>
    <w:rsid w:val="00544EB5"/>
    <w:rsid w:val="00544EDC"/>
    <w:rsid w:val="005452FF"/>
    <w:rsid w:val="00545B02"/>
    <w:rsid w:val="0054662E"/>
    <w:rsid w:val="0054676D"/>
    <w:rsid w:val="00546808"/>
    <w:rsid w:val="0054695F"/>
    <w:rsid w:val="005476C7"/>
    <w:rsid w:val="005476DF"/>
    <w:rsid w:val="0054791A"/>
    <w:rsid w:val="00547C21"/>
    <w:rsid w:val="00547CA6"/>
    <w:rsid w:val="005505C7"/>
    <w:rsid w:val="00551021"/>
    <w:rsid w:val="0055116F"/>
    <w:rsid w:val="005511DF"/>
    <w:rsid w:val="0055140B"/>
    <w:rsid w:val="00551FE6"/>
    <w:rsid w:val="00552674"/>
    <w:rsid w:val="00552AC6"/>
    <w:rsid w:val="00552EBE"/>
    <w:rsid w:val="00553D19"/>
    <w:rsid w:val="0055466D"/>
    <w:rsid w:val="005549A9"/>
    <w:rsid w:val="00555460"/>
    <w:rsid w:val="00555595"/>
    <w:rsid w:val="00555AE1"/>
    <w:rsid w:val="00555BB9"/>
    <w:rsid w:val="00557170"/>
    <w:rsid w:val="00557348"/>
    <w:rsid w:val="00557818"/>
    <w:rsid w:val="00557D7F"/>
    <w:rsid w:val="00557E11"/>
    <w:rsid w:val="00557E2C"/>
    <w:rsid w:val="00560095"/>
    <w:rsid w:val="00560175"/>
    <w:rsid w:val="005602DF"/>
    <w:rsid w:val="005608DF"/>
    <w:rsid w:val="00560921"/>
    <w:rsid w:val="005609D1"/>
    <w:rsid w:val="00560B3E"/>
    <w:rsid w:val="00561F51"/>
    <w:rsid w:val="005620D0"/>
    <w:rsid w:val="00562263"/>
    <w:rsid w:val="00562538"/>
    <w:rsid w:val="00562836"/>
    <w:rsid w:val="00562B02"/>
    <w:rsid w:val="00562E7E"/>
    <w:rsid w:val="00563809"/>
    <w:rsid w:val="0056389C"/>
    <w:rsid w:val="00564584"/>
    <w:rsid w:val="00564717"/>
    <w:rsid w:val="00564CF3"/>
    <w:rsid w:val="0056507F"/>
    <w:rsid w:val="005656A1"/>
    <w:rsid w:val="00565AAE"/>
    <w:rsid w:val="00565C37"/>
    <w:rsid w:val="0056661C"/>
    <w:rsid w:val="00566806"/>
    <w:rsid w:val="00566B80"/>
    <w:rsid w:val="00566BE5"/>
    <w:rsid w:val="0056715C"/>
    <w:rsid w:val="005676D6"/>
    <w:rsid w:val="0056784D"/>
    <w:rsid w:val="00567912"/>
    <w:rsid w:val="00570138"/>
    <w:rsid w:val="00570548"/>
    <w:rsid w:val="005711FA"/>
    <w:rsid w:val="005719EF"/>
    <w:rsid w:val="00571D46"/>
    <w:rsid w:val="00572796"/>
    <w:rsid w:val="00572D3E"/>
    <w:rsid w:val="0057321A"/>
    <w:rsid w:val="00573280"/>
    <w:rsid w:val="00573A49"/>
    <w:rsid w:val="00573FC9"/>
    <w:rsid w:val="005743C7"/>
    <w:rsid w:val="00574458"/>
    <w:rsid w:val="00574C27"/>
    <w:rsid w:val="0057547A"/>
    <w:rsid w:val="00575CBC"/>
    <w:rsid w:val="00576253"/>
    <w:rsid w:val="00576716"/>
    <w:rsid w:val="00576D39"/>
    <w:rsid w:val="0057794A"/>
    <w:rsid w:val="00577988"/>
    <w:rsid w:val="00577A37"/>
    <w:rsid w:val="00577B51"/>
    <w:rsid w:val="00577BC6"/>
    <w:rsid w:val="00580188"/>
    <w:rsid w:val="005803EE"/>
    <w:rsid w:val="005805EB"/>
    <w:rsid w:val="00580B91"/>
    <w:rsid w:val="005814D2"/>
    <w:rsid w:val="005815AE"/>
    <w:rsid w:val="00581835"/>
    <w:rsid w:val="00581CCD"/>
    <w:rsid w:val="00581D8A"/>
    <w:rsid w:val="005829B7"/>
    <w:rsid w:val="00582CAB"/>
    <w:rsid w:val="0058343D"/>
    <w:rsid w:val="005839DD"/>
    <w:rsid w:val="00583C1B"/>
    <w:rsid w:val="0058437C"/>
    <w:rsid w:val="005843E2"/>
    <w:rsid w:val="0058469A"/>
    <w:rsid w:val="0058474D"/>
    <w:rsid w:val="005847AF"/>
    <w:rsid w:val="00584960"/>
    <w:rsid w:val="00584BDE"/>
    <w:rsid w:val="0058521A"/>
    <w:rsid w:val="00585C22"/>
    <w:rsid w:val="00585D00"/>
    <w:rsid w:val="00586D84"/>
    <w:rsid w:val="00586FA4"/>
    <w:rsid w:val="0058719D"/>
    <w:rsid w:val="00587220"/>
    <w:rsid w:val="005872BD"/>
    <w:rsid w:val="00587422"/>
    <w:rsid w:val="0058799F"/>
    <w:rsid w:val="00590E93"/>
    <w:rsid w:val="0059160B"/>
    <w:rsid w:val="00591FAB"/>
    <w:rsid w:val="00592A49"/>
    <w:rsid w:val="00592A9D"/>
    <w:rsid w:val="00593398"/>
    <w:rsid w:val="0059361B"/>
    <w:rsid w:val="00594D78"/>
    <w:rsid w:val="0059503E"/>
    <w:rsid w:val="0059585E"/>
    <w:rsid w:val="00595C15"/>
    <w:rsid w:val="00596880"/>
    <w:rsid w:val="00596932"/>
    <w:rsid w:val="00596AEA"/>
    <w:rsid w:val="00596B65"/>
    <w:rsid w:val="00597257"/>
    <w:rsid w:val="005A018C"/>
    <w:rsid w:val="005A0191"/>
    <w:rsid w:val="005A09A3"/>
    <w:rsid w:val="005A0F92"/>
    <w:rsid w:val="005A1064"/>
    <w:rsid w:val="005A138C"/>
    <w:rsid w:val="005A1712"/>
    <w:rsid w:val="005A1748"/>
    <w:rsid w:val="005A1C50"/>
    <w:rsid w:val="005A20FC"/>
    <w:rsid w:val="005A2B60"/>
    <w:rsid w:val="005A2CEF"/>
    <w:rsid w:val="005A30E1"/>
    <w:rsid w:val="005A3123"/>
    <w:rsid w:val="005A3273"/>
    <w:rsid w:val="005A33D4"/>
    <w:rsid w:val="005A3884"/>
    <w:rsid w:val="005A3BE9"/>
    <w:rsid w:val="005A42A5"/>
    <w:rsid w:val="005A45A2"/>
    <w:rsid w:val="005A486F"/>
    <w:rsid w:val="005A4A1A"/>
    <w:rsid w:val="005A5293"/>
    <w:rsid w:val="005A53DB"/>
    <w:rsid w:val="005A5671"/>
    <w:rsid w:val="005A5C75"/>
    <w:rsid w:val="005A6436"/>
    <w:rsid w:val="005A6493"/>
    <w:rsid w:val="005A666C"/>
    <w:rsid w:val="005A6A69"/>
    <w:rsid w:val="005A6BE8"/>
    <w:rsid w:val="005A7906"/>
    <w:rsid w:val="005A7D02"/>
    <w:rsid w:val="005B00CF"/>
    <w:rsid w:val="005B01E6"/>
    <w:rsid w:val="005B061F"/>
    <w:rsid w:val="005B097B"/>
    <w:rsid w:val="005B18D6"/>
    <w:rsid w:val="005B1DD1"/>
    <w:rsid w:val="005B1E41"/>
    <w:rsid w:val="005B20DA"/>
    <w:rsid w:val="005B2548"/>
    <w:rsid w:val="005B25D4"/>
    <w:rsid w:val="005B2D3D"/>
    <w:rsid w:val="005B2E39"/>
    <w:rsid w:val="005B2E8A"/>
    <w:rsid w:val="005B3A42"/>
    <w:rsid w:val="005B4160"/>
    <w:rsid w:val="005B4AC9"/>
    <w:rsid w:val="005B4AEF"/>
    <w:rsid w:val="005B4BC0"/>
    <w:rsid w:val="005B5071"/>
    <w:rsid w:val="005B5139"/>
    <w:rsid w:val="005B5663"/>
    <w:rsid w:val="005B6185"/>
    <w:rsid w:val="005B67A4"/>
    <w:rsid w:val="005B6865"/>
    <w:rsid w:val="005B6BDC"/>
    <w:rsid w:val="005B7C4E"/>
    <w:rsid w:val="005C0027"/>
    <w:rsid w:val="005C0267"/>
    <w:rsid w:val="005C06EF"/>
    <w:rsid w:val="005C0822"/>
    <w:rsid w:val="005C0827"/>
    <w:rsid w:val="005C12CF"/>
    <w:rsid w:val="005C177A"/>
    <w:rsid w:val="005C1985"/>
    <w:rsid w:val="005C1DD1"/>
    <w:rsid w:val="005C1DD9"/>
    <w:rsid w:val="005C1DDA"/>
    <w:rsid w:val="005C1DEF"/>
    <w:rsid w:val="005C1E7C"/>
    <w:rsid w:val="005C281A"/>
    <w:rsid w:val="005C2ECF"/>
    <w:rsid w:val="005C358F"/>
    <w:rsid w:val="005C38DE"/>
    <w:rsid w:val="005C4E3B"/>
    <w:rsid w:val="005C54A8"/>
    <w:rsid w:val="005C5E17"/>
    <w:rsid w:val="005C5E4A"/>
    <w:rsid w:val="005C5F6B"/>
    <w:rsid w:val="005C6187"/>
    <w:rsid w:val="005C66D1"/>
    <w:rsid w:val="005C69EB"/>
    <w:rsid w:val="005C7921"/>
    <w:rsid w:val="005C7A4B"/>
    <w:rsid w:val="005C7BCB"/>
    <w:rsid w:val="005C7F69"/>
    <w:rsid w:val="005D00DE"/>
    <w:rsid w:val="005D0518"/>
    <w:rsid w:val="005D055E"/>
    <w:rsid w:val="005D12D0"/>
    <w:rsid w:val="005D142B"/>
    <w:rsid w:val="005D1D7C"/>
    <w:rsid w:val="005D233F"/>
    <w:rsid w:val="005D279B"/>
    <w:rsid w:val="005D28F3"/>
    <w:rsid w:val="005D2EDC"/>
    <w:rsid w:val="005D2EFD"/>
    <w:rsid w:val="005D3021"/>
    <w:rsid w:val="005D328C"/>
    <w:rsid w:val="005D3E28"/>
    <w:rsid w:val="005D48D6"/>
    <w:rsid w:val="005D4949"/>
    <w:rsid w:val="005D49E2"/>
    <w:rsid w:val="005D52D6"/>
    <w:rsid w:val="005D5E2A"/>
    <w:rsid w:val="005D64F1"/>
    <w:rsid w:val="005D653D"/>
    <w:rsid w:val="005D6E22"/>
    <w:rsid w:val="005D6F2E"/>
    <w:rsid w:val="005D768F"/>
    <w:rsid w:val="005D76B7"/>
    <w:rsid w:val="005D7C44"/>
    <w:rsid w:val="005D7C97"/>
    <w:rsid w:val="005E067E"/>
    <w:rsid w:val="005E092A"/>
    <w:rsid w:val="005E09AA"/>
    <w:rsid w:val="005E09D5"/>
    <w:rsid w:val="005E0B45"/>
    <w:rsid w:val="005E161E"/>
    <w:rsid w:val="005E283E"/>
    <w:rsid w:val="005E2C66"/>
    <w:rsid w:val="005E2EF2"/>
    <w:rsid w:val="005E31E0"/>
    <w:rsid w:val="005E3424"/>
    <w:rsid w:val="005E3766"/>
    <w:rsid w:val="005E39A0"/>
    <w:rsid w:val="005E42DA"/>
    <w:rsid w:val="005E4312"/>
    <w:rsid w:val="005E44F3"/>
    <w:rsid w:val="005E44F8"/>
    <w:rsid w:val="005E47F8"/>
    <w:rsid w:val="005E49ED"/>
    <w:rsid w:val="005E4DBB"/>
    <w:rsid w:val="005E58B8"/>
    <w:rsid w:val="005E5E10"/>
    <w:rsid w:val="005E649C"/>
    <w:rsid w:val="005E69E8"/>
    <w:rsid w:val="005E6A03"/>
    <w:rsid w:val="005E71ED"/>
    <w:rsid w:val="005E745D"/>
    <w:rsid w:val="005E7A71"/>
    <w:rsid w:val="005E7D0E"/>
    <w:rsid w:val="005F0652"/>
    <w:rsid w:val="005F09B2"/>
    <w:rsid w:val="005F0FD5"/>
    <w:rsid w:val="005F1DFD"/>
    <w:rsid w:val="005F2177"/>
    <w:rsid w:val="005F24DF"/>
    <w:rsid w:val="005F28A8"/>
    <w:rsid w:val="005F2A3E"/>
    <w:rsid w:val="005F2DA9"/>
    <w:rsid w:val="005F3C60"/>
    <w:rsid w:val="005F3C79"/>
    <w:rsid w:val="005F3D4B"/>
    <w:rsid w:val="005F439C"/>
    <w:rsid w:val="005F48FF"/>
    <w:rsid w:val="005F4EA0"/>
    <w:rsid w:val="005F53C7"/>
    <w:rsid w:val="005F54AC"/>
    <w:rsid w:val="005F57DD"/>
    <w:rsid w:val="005F5E91"/>
    <w:rsid w:val="005F60E9"/>
    <w:rsid w:val="005F748F"/>
    <w:rsid w:val="005F7B59"/>
    <w:rsid w:val="005F7BEF"/>
    <w:rsid w:val="00600847"/>
    <w:rsid w:val="00601270"/>
    <w:rsid w:val="00601AD2"/>
    <w:rsid w:val="00601E77"/>
    <w:rsid w:val="00602265"/>
    <w:rsid w:val="0060239B"/>
    <w:rsid w:val="00603500"/>
    <w:rsid w:val="00603A14"/>
    <w:rsid w:val="00604009"/>
    <w:rsid w:val="00604A4D"/>
    <w:rsid w:val="00604AC0"/>
    <w:rsid w:val="006056A0"/>
    <w:rsid w:val="006059BB"/>
    <w:rsid w:val="00606389"/>
    <w:rsid w:val="00606D3B"/>
    <w:rsid w:val="00606D75"/>
    <w:rsid w:val="00606DC2"/>
    <w:rsid w:val="00607D88"/>
    <w:rsid w:val="00610868"/>
    <w:rsid w:val="00611143"/>
    <w:rsid w:val="006112F2"/>
    <w:rsid w:val="0061156E"/>
    <w:rsid w:val="00611B8B"/>
    <w:rsid w:val="00612160"/>
    <w:rsid w:val="0061260F"/>
    <w:rsid w:val="00612891"/>
    <w:rsid w:val="00613095"/>
    <w:rsid w:val="0061318E"/>
    <w:rsid w:val="00613A8C"/>
    <w:rsid w:val="00613BB7"/>
    <w:rsid w:val="00614D8E"/>
    <w:rsid w:val="00614E5D"/>
    <w:rsid w:val="00615084"/>
    <w:rsid w:val="006155A6"/>
    <w:rsid w:val="006155E5"/>
    <w:rsid w:val="00615DA8"/>
    <w:rsid w:val="00615EE4"/>
    <w:rsid w:val="00616401"/>
    <w:rsid w:val="00616C5D"/>
    <w:rsid w:val="00616CEC"/>
    <w:rsid w:val="00617149"/>
    <w:rsid w:val="00617247"/>
    <w:rsid w:val="006177C6"/>
    <w:rsid w:val="00617F53"/>
    <w:rsid w:val="00620870"/>
    <w:rsid w:val="0062210C"/>
    <w:rsid w:val="006221DF"/>
    <w:rsid w:val="0062292E"/>
    <w:rsid w:val="00622A28"/>
    <w:rsid w:val="00623878"/>
    <w:rsid w:val="00623DA8"/>
    <w:rsid w:val="006241BE"/>
    <w:rsid w:val="00624418"/>
    <w:rsid w:val="00624616"/>
    <w:rsid w:val="006249DD"/>
    <w:rsid w:val="00624D2D"/>
    <w:rsid w:val="00624F03"/>
    <w:rsid w:val="0062598A"/>
    <w:rsid w:val="00626256"/>
    <w:rsid w:val="0062668A"/>
    <w:rsid w:val="00626F67"/>
    <w:rsid w:val="0062730E"/>
    <w:rsid w:val="00627E3A"/>
    <w:rsid w:val="00627F80"/>
    <w:rsid w:val="00630653"/>
    <w:rsid w:val="006310A9"/>
    <w:rsid w:val="0063121D"/>
    <w:rsid w:val="00632333"/>
    <w:rsid w:val="006324CD"/>
    <w:rsid w:val="00632695"/>
    <w:rsid w:val="00632760"/>
    <w:rsid w:val="006328E8"/>
    <w:rsid w:val="00632C80"/>
    <w:rsid w:val="00632E85"/>
    <w:rsid w:val="00632F2C"/>
    <w:rsid w:val="0063304F"/>
    <w:rsid w:val="006332E6"/>
    <w:rsid w:val="006334B7"/>
    <w:rsid w:val="00633BCC"/>
    <w:rsid w:val="006347BC"/>
    <w:rsid w:val="00634F5E"/>
    <w:rsid w:val="00634F99"/>
    <w:rsid w:val="00635C14"/>
    <w:rsid w:val="00635CA2"/>
    <w:rsid w:val="00636DB2"/>
    <w:rsid w:val="0063708A"/>
    <w:rsid w:val="006371E5"/>
    <w:rsid w:val="006376C5"/>
    <w:rsid w:val="00637B88"/>
    <w:rsid w:val="00637C5D"/>
    <w:rsid w:val="00637F3E"/>
    <w:rsid w:val="00637F7F"/>
    <w:rsid w:val="006401D1"/>
    <w:rsid w:val="00640FA6"/>
    <w:rsid w:val="00641034"/>
    <w:rsid w:val="0064129F"/>
    <w:rsid w:val="00641383"/>
    <w:rsid w:val="00641842"/>
    <w:rsid w:val="00641B29"/>
    <w:rsid w:val="0064221F"/>
    <w:rsid w:val="00642347"/>
    <w:rsid w:val="0064248B"/>
    <w:rsid w:val="00642527"/>
    <w:rsid w:val="00642815"/>
    <w:rsid w:val="006429C6"/>
    <w:rsid w:val="00643329"/>
    <w:rsid w:val="0064356A"/>
    <w:rsid w:val="00643754"/>
    <w:rsid w:val="00643799"/>
    <w:rsid w:val="00643962"/>
    <w:rsid w:val="0064526C"/>
    <w:rsid w:val="00645868"/>
    <w:rsid w:val="006460D5"/>
    <w:rsid w:val="0064649D"/>
    <w:rsid w:val="00646F12"/>
    <w:rsid w:val="006500E1"/>
    <w:rsid w:val="006501D3"/>
    <w:rsid w:val="00650497"/>
    <w:rsid w:val="00650872"/>
    <w:rsid w:val="00650C80"/>
    <w:rsid w:val="00650E21"/>
    <w:rsid w:val="0065269E"/>
    <w:rsid w:val="00652BA6"/>
    <w:rsid w:val="00652D9D"/>
    <w:rsid w:val="0065319A"/>
    <w:rsid w:val="0065334B"/>
    <w:rsid w:val="006533A6"/>
    <w:rsid w:val="00653599"/>
    <w:rsid w:val="006537D7"/>
    <w:rsid w:val="006541CF"/>
    <w:rsid w:val="00654772"/>
    <w:rsid w:val="00655031"/>
    <w:rsid w:val="0065537C"/>
    <w:rsid w:val="006554A7"/>
    <w:rsid w:val="006559D5"/>
    <w:rsid w:val="006559F0"/>
    <w:rsid w:val="00655A2F"/>
    <w:rsid w:val="00655AE9"/>
    <w:rsid w:val="00656164"/>
    <w:rsid w:val="0065654D"/>
    <w:rsid w:val="0065664E"/>
    <w:rsid w:val="00656C89"/>
    <w:rsid w:val="006601E5"/>
    <w:rsid w:val="00660822"/>
    <w:rsid w:val="00660E23"/>
    <w:rsid w:val="00660FB0"/>
    <w:rsid w:val="006610ED"/>
    <w:rsid w:val="00661101"/>
    <w:rsid w:val="00661A01"/>
    <w:rsid w:val="00661EEE"/>
    <w:rsid w:val="00662160"/>
    <w:rsid w:val="00662C13"/>
    <w:rsid w:val="0066326F"/>
    <w:rsid w:val="006632DA"/>
    <w:rsid w:val="00663325"/>
    <w:rsid w:val="00663B56"/>
    <w:rsid w:val="00663F38"/>
    <w:rsid w:val="006647ED"/>
    <w:rsid w:val="006648B7"/>
    <w:rsid w:val="00664B70"/>
    <w:rsid w:val="00664F1D"/>
    <w:rsid w:val="0066502D"/>
    <w:rsid w:val="00665889"/>
    <w:rsid w:val="00665B69"/>
    <w:rsid w:val="00666152"/>
    <w:rsid w:val="006662D9"/>
    <w:rsid w:val="00666461"/>
    <w:rsid w:val="00666602"/>
    <w:rsid w:val="006666EB"/>
    <w:rsid w:val="00666D7F"/>
    <w:rsid w:val="00667C7D"/>
    <w:rsid w:val="00667D6C"/>
    <w:rsid w:val="00667E65"/>
    <w:rsid w:val="006701D6"/>
    <w:rsid w:val="0067079D"/>
    <w:rsid w:val="0067091E"/>
    <w:rsid w:val="006710E6"/>
    <w:rsid w:val="00671171"/>
    <w:rsid w:val="00671212"/>
    <w:rsid w:val="0067191D"/>
    <w:rsid w:val="0067269F"/>
    <w:rsid w:val="00672CD9"/>
    <w:rsid w:val="00672E94"/>
    <w:rsid w:val="00672EC6"/>
    <w:rsid w:val="0067310C"/>
    <w:rsid w:val="00673371"/>
    <w:rsid w:val="00673446"/>
    <w:rsid w:val="00673BBF"/>
    <w:rsid w:val="00673E95"/>
    <w:rsid w:val="00674370"/>
    <w:rsid w:val="00674983"/>
    <w:rsid w:val="00674D06"/>
    <w:rsid w:val="00674DCC"/>
    <w:rsid w:val="00674F14"/>
    <w:rsid w:val="00674F92"/>
    <w:rsid w:val="00675642"/>
    <w:rsid w:val="006760F1"/>
    <w:rsid w:val="006769CA"/>
    <w:rsid w:val="00676C80"/>
    <w:rsid w:val="00676D97"/>
    <w:rsid w:val="00676EDA"/>
    <w:rsid w:val="0067719F"/>
    <w:rsid w:val="00677899"/>
    <w:rsid w:val="00677A55"/>
    <w:rsid w:val="00677B2A"/>
    <w:rsid w:val="00677E2C"/>
    <w:rsid w:val="00677E7D"/>
    <w:rsid w:val="00680366"/>
    <w:rsid w:val="00680450"/>
    <w:rsid w:val="0068125F"/>
    <w:rsid w:val="00681D75"/>
    <w:rsid w:val="006831B2"/>
    <w:rsid w:val="0068350B"/>
    <w:rsid w:val="00683769"/>
    <w:rsid w:val="0068408B"/>
    <w:rsid w:val="006842A2"/>
    <w:rsid w:val="00684324"/>
    <w:rsid w:val="00684DDA"/>
    <w:rsid w:val="006861B5"/>
    <w:rsid w:val="006862CC"/>
    <w:rsid w:val="0068642C"/>
    <w:rsid w:val="00686536"/>
    <w:rsid w:val="00686D85"/>
    <w:rsid w:val="0068711A"/>
    <w:rsid w:val="006900E3"/>
    <w:rsid w:val="0069051D"/>
    <w:rsid w:val="0069144E"/>
    <w:rsid w:val="00691D61"/>
    <w:rsid w:val="0069250A"/>
    <w:rsid w:val="00692944"/>
    <w:rsid w:val="00692955"/>
    <w:rsid w:val="006940CB"/>
    <w:rsid w:val="006943B8"/>
    <w:rsid w:val="00695548"/>
    <w:rsid w:val="006955C6"/>
    <w:rsid w:val="00695812"/>
    <w:rsid w:val="00695B78"/>
    <w:rsid w:val="00695DEE"/>
    <w:rsid w:val="006967D5"/>
    <w:rsid w:val="00696EB4"/>
    <w:rsid w:val="00696FCA"/>
    <w:rsid w:val="006970D9"/>
    <w:rsid w:val="0069729F"/>
    <w:rsid w:val="006972BE"/>
    <w:rsid w:val="006979DC"/>
    <w:rsid w:val="006A0AA2"/>
    <w:rsid w:val="006A0BA6"/>
    <w:rsid w:val="006A0E4C"/>
    <w:rsid w:val="006A0FC3"/>
    <w:rsid w:val="006A1B67"/>
    <w:rsid w:val="006A1ECD"/>
    <w:rsid w:val="006A20F5"/>
    <w:rsid w:val="006A2F6D"/>
    <w:rsid w:val="006A39A5"/>
    <w:rsid w:val="006A3ADC"/>
    <w:rsid w:val="006A467B"/>
    <w:rsid w:val="006A474A"/>
    <w:rsid w:val="006A514D"/>
    <w:rsid w:val="006A52CD"/>
    <w:rsid w:val="006A540F"/>
    <w:rsid w:val="006A56F0"/>
    <w:rsid w:val="006A5C92"/>
    <w:rsid w:val="006A61EC"/>
    <w:rsid w:val="006A6227"/>
    <w:rsid w:val="006A6897"/>
    <w:rsid w:val="006A6F66"/>
    <w:rsid w:val="006A7198"/>
    <w:rsid w:val="006A7453"/>
    <w:rsid w:val="006A74C8"/>
    <w:rsid w:val="006A752A"/>
    <w:rsid w:val="006A7B03"/>
    <w:rsid w:val="006A7DAB"/>
    <w:rsid w:val="006A7E13"/>
    <w:rsid w:val="006A7E9D"/>
    <w:rsid w:val="006B03DB"/>
    <w:rsid w:val="006B05A8"/>
    <w:rsid w:val="006B07B2"/>
    <w:rsid w:val="006B0A20"/>
    <w:rsid w:val="006B0A45"/>
    <w:rsid w:val="006B0B2F"/>
    <w:rsid w:val="006B0C46"/>
    <w:rsid w:val="006B17FD"/>
    <w:rsid w:val="006B1AC1"/>
    <w:rsid w:val="006B1B68"/>
    <w:rsid w:val="006B1E92"/>
    <w:rsid w:val="006B1FA5"/>
    <w:rsid w:val="006B2168"/>
    <w:rsid w:val="006B2521"/>
    <w:rsid w:val="006B2638"/>
    <w:rsid w:val="006B3480"/>
    <w:rsid w:val="006B3AEC"/>
    <w:rsid w:val="006B3DE0"/>
    <w:rsid w:val="006B3FF9"/>
    <w:rsid w:val="006B47F0"/>
    <w:rsid w:val="006B51D6"/>
    <w:rsid w:val="006B5773"/>
    <w:rsid w:val="006B5CED"/>
    <w:rsid w:val="006B5D0D"/>
    <w:rsid w:val="006B6076"/>
    <w:rsid w:val="006B6926"/>
    <w:rsid w:val="006B6BA9"/>
    <w:rsid w:val="006B6ED6"/>
    <w:rsid w:val="006B77F3"/>
    <w:rsid w:val="006C0388"/>
    <w:rsid w:val="006C05F8"/>
    <w:rsid w:val="006C0686"/>
    <w:rsid w:val="006C0F1F"/>
    <w:rsid w:val="006C107B"/>
    <w:rsid w:val="006C13EB"/>
    <w:rsid w:val="006C1CCA"/>
    <w:rsid w:val="006C1E05"/>
    <w:rsid w:val="006C1E34"/>
    <w:rsid w:val="006C1E98"/>
    <w:rsid w:val="006C21C3"/>
    <w:rsid w:val="006C2297"/>
    <w:rsid w:val="006C22E3"/>
    <w:rsid w:val="006C25B6"/>
    <w:rsid w:val="006C2BF3"/>
    <w:rsid w:val="006C3056"/>
    <w:rsid w:val="006C30F2"/>
    <w:rsid w:val="006C3492"/>
    <w:rsid w:val="006C3B02"/>
    <w:rsid w:val="006C403F"/>
    <w:rsid w:val="006C43BB"/>
    <w:rsid w:val="006C4727"/>
    <w:rsid w:val="006C4D4C"/>
    <w:rsid w:val="006C583A"/>
    <w:rsid w:val="006C59DA"/>
    <w:rsid w:val="006C6BF3"/>
    <w:rsid w:val="006C73B5"/>
    <w:rsid w:val="006C7570"/>
    <w:rsid w:val="006D0252"/>
    <w:rsid w:val="006D04CB"/>
    <w:rsid w:val="006D071E"/>
    <w:rsid w:val="006D0815"/>
    <w:rsid w:val="006D0833"/>
    <w:rsid w:val="006D09FD"/>
    <w:rsid w:val="006D1186"/>
    <w:rsid w:val="006D2068"/>
    <w:rsid w:val="006D228A"/>
    <w:rsid w:val="006D228B"/>
    <w:rsid w:val="006D22F0"/>
    <w:rsid w:val="006D2386"/>
    <w:rsid w:val="006D28E2"/>
    <w:rsid w:val="006D2BEB"/>
    <w:rsid w:val="006D3D6D"/>
    <w:rsid w:val="006D4117"/>
    <w:rsid w:val="006D41C3"/>
    <w:rsid w:val="006D4392"/>
    <w:rsid w:val="006D499C"/>
    <w:rsid w:val="006D4ADB"/>
    <w:rsid w:val="006D4B82"/>
    <w:rsid w:val="006D4F75"/>
    <w:rsid w:val="006D51EC"/>
    <w:rsid w:val="006D5565"/>
    <w:rsid w:val="006D594A"/>
    <w:rsid w:val="006D5ACE"/>
    <w:rsid w:val="006D63CA"/>
    <w:rsid w:val="006D645A"/>
    <w:rsid w:val="006D6CFF"/>
    <w:rsid w:val="006D6E91"/>
    <w:rsid w:val="006D7469"/>
    <w:rsid w:val="006D7653"/>
    <w:rsid w:val="006D7FE6"/>
    <w:rsid w:val="006E054F"/>
    <w:rsid w:val="006E0915"/>
    <w:rsid w:val="006E1159"/>
    <w:rsid w:val="006E1751"/>
    <w:rsid w:val="006E1BEF"/>
    <w:rsid w:val="006E1D3D"/>
    <w:rsid w:val="006E2243"/>
    <w:rsid w:val="006E2CD0"/>
    <w:rsid w:val="006E3926"/>
    <w:rsid w:val="006E3939"/>
    <w:rsid w:val="006E4B18"/>
    <w:rsid w:val="006E5347"/>
    <w:rsid w:val="006E547C"/>
    <w:rsid w:val="006E57AB"/>
    <w:rsid w:val="006E5877"/>
    <w:rsid w:val="006E5B35"/>
    <w:rsid w:val="006E5D05"/>
    <w:rsid w:val="006E662B"/>
    <w:rsid w:val="006E6756"/>
    <w:rsid w:val="006E6DE1"/>
    <w:rsid w:val="006E6E87"/>
    <w:rsid w:val="006E70B5"/>
    <w:rsid w:val="006E7318"/>
    <w:rsid w:val="006E7957"/>
    <w:rsid w:val="006E7FDA"/>
    <w:rsid w:val="006F009E"/>
    <w:rsid w:val="006F0A4A"/>
    <w:rsid w:val="006F0C20"/>
    <w:rsid w:val="006F0ED1"/>
    <w:rsid w:val="006F2369"/>
    <w:rsid w:val="006F26D8"/>
    <w:rsid w:val="006F298D"/>
    <w:rsid w:val="006F2E20"/>
    <w:rsid w:val="006F3056"/>
    <w:rsid w:val="006F31FB"/>
    <w:rsid w:val="006F3BE4"/>
    <w:rsid w:val="006F3C96"/>
    <w:rsid w:val="006F3E34"/>
    <w:rsid w:val="006F449A"/>
    <w:rsid w:val="006F4C8C"/>
    <w:rsid w:val="006F4E51"/>
    <w:rsid w:val="006F5257"/>
    <w:rsid w:val="006F5288"/>
    <w:rsid w:val="006F5355"/>
    <w:rsid w:val="006F55BF"/>
    <w:rsid w:val="006F5790"/>
    <w:rsid w:val="006F678E"/>
    <w:rsid w:val="006F6F81"/>
    <w:rsid w:val="006F7259"/>
    <w:rsid w:val="006F75EF"/>
    <w:rsid w:val="006F760B"/>
    <w:rsid w:val="006F7699"/>
    <w:rsid w:val="006F7757"/>
    <w:rsid w:val="00700363"/>
    <w:rsid w:val="007014C4"/>
    <w:rsid w:val="00701D60"/>
    <w:rsid w:val="00701DEC"/>
    <w:rsid w:val="00702329"/>
    <w:rsid w:val="00702D3B"/>
    <w:rsid w:val="00702EC5"/>
    <w:rsid w:val="007031B2"/>
    <w:rsid w:val="007033BD"/>
    <w:rsid w:val="00703654"/>
    <w:rsid w:val="00704047"/>
    <w:rsid w:val="0070437A"/>
    <w:rsid w:val="00704543"/>
    <w:rsid w:val="00704609"/>
    <w:rsid w:val="00704853"/>
    <w:rsid w:val="007050C7"/>
    <w:rsid w:val="007051E0"/>
    <w:rsid w:val="0070542A"/>
    <w:rsid w:val="00705939"/>
    <w:rsid w:val="00706BFC"/>
    <w:rsid w:val="0070739B"/>
    <w:rsid w:val="00707596"/>
    <w:rsid w:val="00707B9F"/>
    <w:rsid w:val="007102E7"/>
    <w:rsid w:val="0071052D"/>
    <w:rsid w:val="00711474"/>
    <w:rsid w:val="0071165C"/>
    <w:rsid w:val="007118DE"/>
    <w:rsid w:val="00711B46"/>
    <w:rsid w:val="00711B4A"/>
    <w:rsid w:val="00711F00"/>
    <w:rsid w:val="00712AE3"/>
    <w:rsid w:val="00713554"/>
    <w:rsid w:val="007136D4"/>
    <w:rsid w:val="0071398E"/>
    <w:rsid w:val="007139D0"/>
    <w:rsid w:val="00714098"/>
    <w:rsid w:val="007145D0"/>
    <w:rsid w:val="00714791"/>
    <w:rsid w:val="007147EE"/>
    <w:rsid w:val="00714B97"/>
    <w:rsid w:val="00714CF9"/>
    <w:rsid w:val="00714D27"/>
    <w:rsid w:val="00715654"/>
    <w:rsid w:val="007158C5"/>
    <w:rsid w:val="007161DE"/>
    <w:rsid w:val="007167F9"/>
    <w:rsid w:val="00716C18"/>
    <w:rsid w:val="00716C7A"/>
    <w:rsid w:val="0071721E"/>
    <w:rsid w:val="00717258"/>
    <w:rsid w:val="00717379"/>
    <w:rsid w:val="0071795F"/>
    <w:rsid w:val="00717A5F"/>
    <w:rsid w:val="00717CB5"/>
    <w:rsid w:val="00720101"/>
    <w:rsid w:val="007209CD"/>
    <w:rsid w:val="007219B5"/>
    <w:rsid w:val="00722263"/>
    <w:rsid w:val="00722973"/>
    <w:rsid w:val="00722E3C"/>
    <w:rsid w:val="00723590"/>
    <w:rsid w:val="007235EA"/>
    <w:rsid w:val="00723D8B"/>
    <w:rsid w:val="00723D94"/>
    <w:rsid w:val="00723DB0"/>
    <w:rsid w:val="007242F8"/>
    <w:rsid w:val="0072437E"/>
    <w:rsid w:val="00724B85"/>
    <w:rsid w:val="00724DB6"/>
    <w:rsid w:val="00724F50"/>
    <w:rsid w:val="007251E3"/>
    <w:rsid w:val="007257FE"/>
    <w:rsid w:val="007258EA"/>
    <w:rsid w:val="00725C26"/>
    <w:rsid w:val="00725FE1"/>
    <w:rsid w:val="0072600D"/>
    <w:rsid w:val="00726CD5"/>
    <w:rsid w:val="00726D88"/>
    <w:rsid w:val="007272CB"/>
    <w:rsid w:val="007273CC"/>
    <w:rsid w:val="0072775A"/>
    <w:rsid w:val="00727916"/>
    <w:rsid w:val="00730682"/>
    <w:rsid w:val="00730976"/>
    <w:rsid w:val="007310E4"/>
    <w:rsid w:val="00731308"/>
    <w:rsid w:val="00731345"/>
    <w:rsid w:val="0073195F"/>
    <w:rsid w:val="00731F06"/>
    <w:rsid w:val="00731F14"/>
    <w:rsid w:val="00732880"/>
    <w:rsid w:val="00732DA6"/>
    <w:rsid w:val="00732FB1"/>
    <w:rsid w:val="0073386B"/>
    <w:rsid w:val="00733C39"/>
    <w:rsid w:val="00734212"/>
    <w:rsid w:val="00734744"/>
    <w:rsid w:val="00734B2D"/>
    <w:rsid w:val="00736307"/>
    <w:rsid w:val="00736341"/>
    <w:rsid w:val="00736792"/>
    <w:rsid w:val="007367BA"/>
    <w:rsid w:val="00736892"/>
    <w:rsid w:val="00737B63"/>
    <w:rsid w:val="00740823"/>
    <w:rsid w:val="00740A24"/>
    <w:rsid w:val="007416E3"/>
    <w:rsid w:val="0074207C"/>
    <w:rsid w:val="007423D4"/>
    <w:rsid w:val="007425BE"/>
    <w:rsid w:val="00742642"/>
    <w:rsid w:val="00743088"/>
    <w:rsid w:val="00743116"/>
    <w:rsid w:val="00743563"/>
    <w:rsid w:val="007436C6"/>
    <w:rsid w:val="00744C2A"/>
    <w:rsid w:val="007450A6"/>
    <w:rsid w:val="00745BF3"/>
    <w:rsid w:val="00745ED7"/>
    <w:rsid w:val="007468AD"/>
    <w:rsid w:val="00746CF7"/>
    <w:rsid w:val="007477F6"/>
    <w:rsid w:val="0074785E"/>
    <w:rsid w:val="00747864"/>
    <w:rsid w:val="007478C7"/>
    <w:rsid w:val="00747987"/>
    <w:rsid w:val="00747B91"/>
    <w:rsid w:val="00747D9F"/>
    <w:rsid w:val="00750DFC"/>
    <w:rsid w:val="0075138D"/>
    <w:rsid w:val="007513A5"/>
    <w:rsid w:val="0075143B"/>
    <w:rsid w:val="0075156F"/>
    <w:rsid w:val="007519A8"/>
    <w:rsid w:val="00752092"/>
    <w:rsid w:val="007521F2"/>
    <w:rsid w:val="007524C9"/>
    <w:rsid w:val="007529EB"/>
    <w:rsid w:val="00752F6E"/>
    <w:rsid w:val="007531BC"/>
    <w:rsid w:val="007535C8"/>
    <w:rsid w:val="007536F2"/>
    <w:rsid w:val="00753876"/>
    <w:rsid w:val="00753C22"/>
    <w:rsid w:val="00753D22"/>
    <w:rsid w:val="00753E15"/>
    <w:rsid w:val="00754617"/>
    <w:rsid w:val="00754C33"/>
    <w:rsid w:val="00754F03"/>
    <w:rsid w:val="00755D93"/>
    <w:rsid w:val="00755DF4"/>
    <w:rsid w:val="00755F64"/>
    <w:rsid w:val="00756201"/>
    <w:rsid w:val="00756EB9"/>
    <w:rsid w:val="00756F72"/>
    <w:rsid w:val="00756FF8"/>
    <w:rsid w:val="007570A2"/>
    <w:rsid w:val="007570A6"/>
    <w:rsid w:val="00757201"/>
    <w:rsid w:val="00757250"/>
    <w:rsid w:val="007573DA"/>
    <w:rsid w:val="007574CD"/>
    <w:rsid w:val="007577F1"/>
    <w:rsid w:val="00760667"/>
    <w:rsid w:val="007608DB"/>
    <w:rsid w:val="00760B92"/>
    <w:rsid w:val="00760CFC"/>
    <w:rsid w:val="00761901"/>
    <w:rsid w:val="00761B8F"/>
    <w:rsid w:val="00761E1D"/>
    <w:rsid w:val="00762432"/>
    <w:rsid w:val="007628C0"/>
    <w:rsid w:val="0076310D"/>
    <w:rsid w:val="007633F6"/>
    <w:rsid w:val="00763615"/>
    <w:rsid w:val="00763649"/>
    <w:rsid w:val="00763EC8"/>
    <w:rsid w:val="00764E95"/>
    <w:rsid w:val="00764FF0"/>
    <w:rsid w:val="00764FFA"/>
    <w:rsid w:val="00765188"/>
    <w:rsid w:val="007654E4"/>
    <w:rsid w:val="00765994"/>
    <w:rsid w:val="00765C41"/>
    <w:rsid w:val="00765E49"/>
    <w:rsid w:val="00765ED4"/>
    <w:rsid w:val="00765F65"/>
    <w:rsid w:val="0076642A"/>
    <w:rsid w:val="0076690E"/>
    <w:rsid w:val="00766AD4"/>
    <w:rsid w:val="00766D35"/>
    <w:rsid w:val="00766E4C"/>
    <w:rsid w:val="0076787E"/>
    <w:rsid w:val="0076798F"/>
    <w:rsid w:val="007700C3"/>
    <w:rsid w:val="00770BDF"/>
    <w:rsid w:val="00771D63"/>
    <w:rsid w:val="0077243B"/>
    <w:rsid w:val="00772593"/>
    <w:rsid w:val="00772D38"/>
    <w:rsid w:val="007730A8"/>
    <w:rsid w:val="0077384A"/>
    <w:rsid w:val="00773974"/>
    <w:rsid w:val="00773E9B"/>
    <w:rsid w:val="0077453E"/>
    <w:rsid w:val="0077502C"/>
    <w:rsid w:val="0077542D"/>
    <w:rsid w:val="00775612"/>
    <w:rsid w:val="00775629"/>
    <w:rsid w:val="007758EA"/>
    <w:rsid w:val="0077595D"/>
    <w:rsid w:val="00775EAE"/>
    <w:rsid w:val="0077633A"/>
    <w:rsid w:val="00776489"/>
    <w:rsid w:val="0077649F"/>
    <w:rsid w:val="00776849"/>
    <w:rsid w:val="0077688D"/>
    <w:rsid w:val="007769DC"/>
    <w:rsid w:val="00776A2B"/>
    <w:rsid w:val="00776D57"/>
    <w:rsid w:val="00777015"/>
    <w:rsid w:val="00777065"/>
    <w:rsid w:val="007773DA"/>
    <w:rsid w:val="007774CD"/>
    <w:rsid w:val="0077790D"/>
    <w:rsid w:val="00780049"/>
    <w:rsid w:val="007808DC"/>
    <w:rsid w:val="0078097A"/>
    <w:rsid w:val="00780C14"/>
    <w:rsid w:val="00780DB4"/>
    <w:rsid w:val="00780ED2"/>
    <w:rsid w:val="007814DE"/>
    <w:rsid w:val="00781578"/>
    <w:rsid w:val="00781E56"/>
    <w:rsid w:val="00782106"/>
    <w:rsid w:val="0078313A"/>
    <w:rsid w:val="00783E31"/>
    <w:rsid w:val="00783FF5"/>
    <w:rsid w:val="00784D17"/>
    <w:rsid w:val="00785D79"/>
    <w:rsid w:val="007867BD"/>
    <w:rsid w:val="00786C43"/>
    <w:rsid w:val="007871A8"/>
    <w:rsid w:val="0078742B"/>
    <w:rsid w:val="00787790"/>
    <w:rsid w:val="0079001C"/>
    <w:rsid w:val="007907AC"/>
    <w:rsid w:val="007909E2"/>
    <w:rsid w:val="00790AE4"/>
    <w:rsid w:val="00790E6E"/>
    <w:rsid w:val="00790F62"/>
    <w:rsid w:val="00791B2C"/>
    <w:rsid w:val="00791DF5"/>
    <w:rsid w:val="007924EC"/>
    <w:rsid w:val="00792560"/>
    <w:rsid w:val="00792943"/>
    <w:rsid w:val="00792A67"/>
    <w:rsid w:val="00792B0E"/>
    <w:rsid w:val="00792F0E"/>
    <w:rsid w:val="0079360C"/>
    <w:rsid w:val="00793897"/>
    <w:rsid w:val="007942C1"/>
    <w:rsid w:val="007948F7"/>
    <w:rsid w:val="00794AB3"/>
    <w:rsid w:val="00794BBB"/>
    <w:rsid w:val="00794FA0"/>
    <w:rsid w:val="00795759"/>
    <w:rsid w:val="00795BB5"/>
    <w:rsid w:val="00795D82"/>
    <w:rsid w:val="00795FB4"/>
    <w:rsid w:val="00797D05"/>
    <w:rsid w:val="00797DA9"/>
    <w:rsid w:val="007A0618"/>
    <w:rsid w:val="007A0C27"/>
    <w:rsid w:val="007A0ED5"/>
    <w:rsid w:val="007A11A7"/>
    <w:rsid w:val="007A1566"/>
    <w:rsid w:val="007A1B6C"/>
    <w:rsid w:val="007A1B87"/>
    <w:rsid w:val="007A2489"/>
    <w:rsid w:val="007A2C26"/>
    <w:rsid w:val="007A2CA3"/>
    <w:rsid w:val="007A2FB7"/>
    <w:rsid w:val="007A2FDD"/>
    <w:rsid w:val="007A31DB"/>
    <w:rsid w:val="007A33C5"/>
    <w:rsid w:val="007A4234"/>
    <w:rsid w:val="007A4442"/>
    <w:rsid w:val="007A45B2"/>
    <w:rsid w:val="007A46E2"/>
    <w:rsid w:val="007A485B"/>
    <w:rsid w:val="007A4F77"/>
    <w:rsid w:val="007A5D90"/>
    <w:rsid w:val="007A5E4D"/>
    <w:rsid w:val="007A6081"/>
    <w:rsid w:val="007A639A"/>
    <w:rsid w:val="007A671C"/>
    <w:rsid w:val="007A6745"/>
    <w:rsid w:val="007A6B0B"/>
    <w:rsid w:val="007A6FB9"/>
    <w:rsid w:val="007A7D3A"/>
    <w:rsid w:val="007B051E"/>
    <w:rsid w:val="007B0593"/>
    <w:rsid w:val="007B0A35"/>
    <w:rsid w:val="007B0F28"/>
    <w:rsid w:val="007B12F0"/>
    <w:rsid w:val="007B140E"/>
    <w:rsid w:val="007B14E6"/>
    <w:rsid w:val="007B1884"/>
    <w:rsid w:val="007B1B10"/>
    <w:rsid w:val="007B1E19"/>
    <w:rsid w:val="007B1EC1"/>
    <w:rsid w:val="007B2206"/>
    <w:rsid w:val="007B259C"/>
    <w:rsid w:val="007B302B"/>
    <w:rsid w:val="007B34D5"/>
    <w:rsid w:val="007B3D8D"/>
    <w:rsid w:val="007B3F74"/>
    <w:rsid w:val="007B4138"/>
    <w:rsid w:val="007B4595"/>
    <w:rsid w:val="007B4746"/>
    <w:rsid w:val="007B53DD"/>
    <w:rsid w:val="007B5769"/>
    <w:rsid w:val="007B59CF"/>
    <w:rsid w:val="007B5CC8"/>
    <w:rsid w:val="007B5CEE"/>
    <w:rsid w:val="007B5F5D"/>
    <w:rsid w:val="007B6461"/>
    <w:rsid w:val="007B6701"/>
    <w:rsid w:val="007B6E22"/>
    <w:rsid w:val="007B74D0"/>
    <w:rsid w:val="007B769F"/>
    <w:rsid w:val="007B7703"/>
    <w:rsid w:val="007B7978"/>
    <w:rsid w:val="007B7D2C"/>
    <w:rsid w:val="007B7D95"/>
    <w:rsid w:val="007B7FF7"/>
    <w:rsid w:val="007C0551"/>
    <w:rsid w:val="007C05B5"/>
    <w:rsid w:val="007C0687"/>
    <w:rsid w:val="007C07AB"/>
    <w:rsid w:val="007C08CC"/>
    <w:rsid w:val="007C1184"/>
    <w:rsid w:val="007C16BB"/>
    <w:rsid w:val="007C170D"/>
    <w:rsid w:val="007C197F"/>
    <w:rsid w:val="007C1D81"/>
    <w:rsid w:val="007C23EC"/>
    <w:rsid w:val="007C24FF"/>
    <w:rsid w:val="007C2B31"/>
    <w:rsid w:val="007C3972"/>
    <w:rsid w:val="007C3AB7"/>
    <w:rsid w:val="007C3EAB"/>
    <w:rsid w:val="007C45CB"/>
    <w:rsid w:val="007C5122"/>
    <w:rsid w:val="007C53EC"/>
    <w:rsid w:val="007C5576"/>
    <w:rsid w:val="007C57F4"/>
    <w:rsid w:val="007C58D9"/>
    <w:rsid w:val="007C5E60"/>
    <w:rsid w:val="007C5FB2"/>
    <w:rsid w:val="007C617E"/>
    <w:rsid w:val="007C671C"/>
    <w:rsid w:val="007C6B5E"/>
    <w:rsid w:val="007C6D4A"/>
    <w:rsid w:val="007C72B2"/>
    <w:rsid w:val="007C7DED"/>
    <w:rsid w:val="007D0325"/>
    <w:rsid w:val="007D0605"/>
    <w:rsid w:val="007D075E"/>
    <w:rsid w:val="007D0779"/>
    <w:rsid w:val="007D0A1D"/>
    <w:rsid w:val="007D0C0E"/>
    <w:rsid w:val="007D0D05"/>
    <w:rsid w:val="007D12A6"/>
    <w:rsid w:val="007D191C"/>
    <w:rsid w:val="007D1957"/>
    <w:rsid w:val="007D1D28"/>
    <w:rsid w:val="007D2247"/>
    <w:rsid w:val="007D243B"/>
    <w:rsid w:val="007D2555"/>
    <w:rsid w:val="007D2622"/>
    <w:rsid w:val="007D26C2"/>
    <w:rsid w:val="007D281B"/>
    <w:rsid w:val="007D2DA7"/>
    <w:rsid w:val="007D2DEB"/>
    <w:rsid w:val="007D3733"/>
    <w:rsid w:val="007D3945"/>
    <w:rsid w:val="007D3DC8"/>
    <w:rsid w:val="007D43D9"/>
    <w:rsid w:val="007D46B0"/>
    <w:rsid w:val="007D47FE"/>
    <w:rsid w:val="007D4856"/>
    <w:rsid w:val="007D500F"/>
    <w:rsid w:val="007D503D"/>
    <w:rsid w:val="007D519C"/>
    <w:rsid w:val="007D5287"/>
    <w:rsid w:val="007D585A"/>
    <w:rsid w:val="007D59DC"/>
    <w:rsid w:val="007D6163"/>
    <w:rsid w:val="007D61D2"/>
    <w:rsid w:val="007D643E"/>
    <w:rsid w:val="007D65DB"/>
    <w:rsid w:val="007D6A65"/>
    <w:rsid w:val="007D6C53"/>
    <w:rsid w:val="007D6D63"/>
    <w:rsid w:val="007D6D8B"/>
    <w:rsid w:val="007D74FE"/>
    <w:rsid w:val="007D75D2"/>
    <w:rsid w:val="007D7696"/>
    <w:rsid w:val="007D7CF6"/>
    <w:rsid w:val="007E029A"/>
    <w:rsid w:val="007E07BE"/>
    <w:rsid w:val="007E0928"/>
    <w:rsid w:val="007E0B1A"/>
    <w:rsid w:val="007E0BCF"/>
    <w:rsid w:val="007E13C5"/>
    <w:rsid w:val="007E155E"/>
    <w:rsid w:val="007E16F1"/>
    <w:rsid w:val="007E1973"/>
    <w:rsid w:val="007E1E5C"/>
    <w:rsid w:val="007E2078"/>
    <w:rsid w:val="007E221A"/>
    <w:rsid w:val="007E22C8"/>
    <w:rsid w:val="007E275B"/>
    <w:rsid w:val="007E2A8A"/>
    <w:rsid w:val="007E3342"/>
    <w:rsid w:val="007E35B5"/>
    <w:rsid w:val="007E36DF"/>
    <w:rsid w:val="007E3CCF"/>
    <w:rsid w:val="007E3F5F"/>
    <w:rsid w:val="007E4BBF"/>
    <w:rsid w:val="007E4D57"/>
    <w:rsid w:val="007E50B2"/>
    <w:rsid w:val="007E50CC"/>
    <w:rsid w:val="007E54F8"/>
    <w:rsid w:val="007E56B6"/>
    <w:rsid w:val="007E5FEC"/>
    <w:rsid w:val="007E6623"/>
    <w:rsid w:val="007E6784"/>
    <w:rsid w:val="007E6844"/>
    <w:rsid w:val="007E72F8"/>
    <w:rsid w:val="007E7527"/>
    <w:rsid w:val="007F0161"/>
    <w:rsid w:val="007F03A8"/>
    <w:rsid w:val="007F08AE"/>
    <w:rsid w:val="007F1EF2"/>
    <w:rsid w:val="007F2329"/>
    <w:rsid w:val="007F27C6"/>
    <w:rsid w:val="007F2D4E"/>
    <w:rsid w:val="007F3030"/>
    <w:rsid w:val="007F31B5"/>
    <w:rsid w:val="007F36B6"/>
    <w:rsid w:val="007F372C"/>
    <w:rsid w:val="007F3D17"/>
    <w:rsid w:val="007F3EAB"/>
    <w:rsid w:val="007F4CF7"/>
    <w:rsid w:val="007F4E4D"/>
    <w:rsid w:val="007F4F7A"/>
    <w:rsid w:val="007F5324"/>
    <w:rsid w:val="007F5738"/>
    <w:rsid w:val="007F5BED"/>
    <w:rsid w:val="007F5C11"/>
    <w:rsid w:val="007F5D2B"/>
    <w:rsid w:val="007F5FA4"/>
    <w:rsid w:val="007F624E"/>
    <w:rsid w:val="007F62E9"/>
    <w:rsid w:val="007F6929"/>
    <w:rsid w:val="007F69E6"/>
    <w:rsid w:val="007F6BB8"/>
    <w:rsid w:val="007F75BB"/>
    <w:rsid w:val="007F77FA"/>
    <w:rsid w:val="007F7B32"/>
    <w:rsid w:val="0080068B"/>
    <w:rsid w:val="0080081A"/>
    <w:rsid w:val="008008C8"/>
    <w:rsid w:val="00800D6F"/>
    <w:rsid w:val="00800D92"/>
    <w:rsid w:val="00801208"/>
    <w:rsid w:val="0080134F"/>
    <w:rsid w:val="0080171F"/>
    <w:rsid w:val="0080187D"/>
    <w:rsid w:val="00801B94"/>
    <w:rsid w:val="00802057"/>
    <w:rsid w:val="008021FC"/>
    <w:rsid w:val="008023A1"/>
    <w:rsid w:val="008023D6"/>
    <w:rsid w:val="0080263A"/>
    <w:rsid w:val="008027C2"/>
    <w:rsid w:val="00803B8A"/>
    <w:rsid w:val="00804033"/>
    <w:rsid w:val="0080405A"/>
    <w:rsid w:val="00804259"/>
    <w:rsid w:val="00804984"/>
    <w:rsid w:val="00804D25"/>
    <w:rsid w:val="008052E8"/>
    <w:rsid w:val="00805A2C"/>
    <w:rsid w:val="00806975"/>
    <w:rsid w:val="00806B28"/>
    <w:rsid w:val="00806CC5"/>
    <w:rsid w:val="00806D70"/>
    <w:rsid w:val="00806E3B"/>
    <w:rsid w:val="008071E2"/>
    <w:rsid w:val="00807B71"/>
    <w:rsid w:val="00807BB8"/>
    <w:rsid w:val="00807EE0"/>
    <w:rsid w:val="00807F7C"/>
    <w:rsid w:val="008108BA"/>
    <w:rsid w:val="00810A6D"/>
    <w:rsid w:val="00810C33"/>
    <w:rsid w:val="00811060"/>
    <w:rsid w:val="008110FD"/>
    <w:rsid w:val="0081126A"/>
    <w:rsid w:val="00811995"/>
    <w:rsid w:val="00812648"/>
    <w:rsid w:val="008129E4"/>
    <w:rsid w:val="00813083"/>
    <w:rsid w:val="008133B7"/>
    <w:rsid w:val="008133DB"/>
    <w:rsid w:val="0081374A"/>
    <w:rsid w:val="00813BE3"/>
    <w:rsid w:val="00814190"/>
    <w:rsid w:val="00814BBA"/>
    <w:rsid w:val="00814C6F"/>
    <w:rsid w:val="00814DEF"/>
    <w:rsid w:val="00814E65"/>
    <w:rsid w:val="00815446"/>
    <w:rsid w:val="008159AF"/>
    <w:rsid w:val="00815C50"/>
    <w:rsid w:val="008164B6"/>
    <w:rsid w:val="00816755"/>
    <w:rsid w:val="00817303"/>
    <w:rsid w:val="00817F8C"/>
    <w:rsid w:val="0082026B"/>
    <w:rsid w:val="00820A50"/>
    <w:rsid w:val="00820AA3"/>
    <w:rsid w:val="00820BBA"/>
    <w:rsid w:val="00821607"/>
    <w:rsid w:val="0082196C"/>
    <w:rsid w:val="00821C73"/>
    <w:rsid w:val="00821D27"/>
    <w:rsid w:val="008220DB"/>
    <w:rsid w:val="008227AC"/>
    <w:rsid w:val="00822990"/>
    <w:rsid w:val="00822EC3"/>
    <w:rsid w:val="008238A7"/>
    <w:rsid w:val="00823B16"/>
    <w:rsid w:val="00824840"/>
    <w:rsid w:val="00824A77"/>
    <w:rsid w:val="00824E90"/>
    <w:rsid w:val="00824FA7"/>
    <w:rsid w:val="00825A21"/>
    <w:rsid w:val="00825AC7"/>
    <w:rsid w:val="00825EAC"/>
    <w:rsid w:val="00825ECA"/>
    <w:rsid w:val="008269C3"/>
    <w:rsid w:val="00827102"/>
    <w:rsid w:val="008275A1"/>
    <w:rsid w:val="00827947"/>
    <w:rsid w:val="00830987"/>
    <w:rsid w:val="008310F2"/>
    <w:rsid w:val="00831428"/>
    <w:rsid w:val="008318C0"/>
    <w:rsid w:val="00831A32"/>
    <w:rsid w:val="00832780"/>
    <w:rsid w:val="008328F1"/>
    <w:rsid w:val="008329BB"/>
    <w:rsid w:val="00832ED4"/>
    <w:rsid w:val="00832F8F"/>
    <w:rsid w:val="00833868"/>
    <w:rsid w:val="00833AC3"/>
    <w:rsid w:val="00833FF5"/>
    <w:rsid w:val="008344DC"/>
    <w:rsid w:val="00834690"/>
    <w:rsid w:val="00834855"/>
    <w:rsid w:val="008348D4"/>
    <w:rsid w:val="00834AC9"/>
    <w:rsid w:val="00834DA4"/>
    <w:rsid w:val="0083573F"/>
    <w:rsid w:val="00835893"/>
    <w:rsid w:val="008367AC"/>
    <w:rsid w:val="00836856"/>
    <w:rsid w:val="00836B3A"/>
    <w:rsid w:val="00836C89"/>
    <w:rsid w:val="008371F8"/>
    <w:rsid w:val="00837506"/>
    <w:rsid w:val="0083757B"/>
    <w:rsid w:val="00837DCD"/>
    <w:rsid w:val="00840054"/>
    <w:rsid w:val="008400A5"/>
    <w:rsid w:val="008402F4"/>
    <w:rsid w:val="008407AD"/>
    <w:rsid w:val="00840B35"/>
    <w:rsid w:val="00840C1E"/>
    <w:rsid w:val="00841EC9"/>
    <w:rsid w:val="00841F66"/>
    <w:rsid w:val="0084208E"/>
    <w:rsid w:val="00842314"/>
    <w:rsid w:val="008423E5"/>
    <w:rsid w:val="0084242A"/>
    <w:rsid w:val="0084322B"/>
    <w:rsid w:val="008436B5"/>
    <w:rsid w:val="008437E7"/>
    <w:rsid w:val="00843E06"/>
    <w:rsid w:val="008441A9"/>
    <w:rsid w:val="00844531"/>
    <w:rsid w:val="008447EB"/>
    <w:rsid w:val="00844872"/>
    <w:rsid w:val="00845915"/>
    <w:rsid w:val="0084600C"/>
    <w:rsid w:val="008462B9"/>
    <w:rsid w:val="008463DB"/>
    <w:rsid w:val="0084658F"/>
    <w:rsid w:val="00846685"/>
    <w:rsid w:val="00846C4C"/>
    <w:rsid w:val="008471AE"/>
    <w:rsid w:val="0084776B"/>
    <w:rsid w:val="00847DF5"/>
    <w:rsid w:val="00847FFA"/>
    <w:rsid w:val="008501A8"/>
    <w:rsid w:val="0085031C"/>
    <w:rsid w:val="0085126A"/>
    <w:rsid w:val="008513CB"/>
    <w:rsid w:val="00851510"/>
    <w:rsid w:val="00852127"/>
    <w:rsid w:val="00852245"/>
    <w:rsid w:val="00852255"/>
    <w:rsid w:val="008524AA"/>
    <w:rsid w:val="00852C60"/>
    <w:rsid w:val="00853149"/>
    <w:rsid w:val="00853408"/>
    <w:rsid w:val="00853542"/>
    <w:rsid w:val="00853FC7"/>
    <w:rsid w:val="00854201"/>
    <w:rsid w:val="008542EA"/>
    <w:rsid w:val="0085445E"/>
    <w:rsid w:val="00854C98"/>
    <w:rsid w:val="0085569A"/>
    <w:rsid w:val="00855FEB"/>
    <w:rsid w:val="00856480"/>
    <w:rsid w:val="008568A3"/>
    <w:rsid w:val="00857041"/>
    <w:rsid w:val="008572B5"/>
    <w:rsid w:val="00857316"/>
    <w:rsid w:val="00857430"/>
    <w:rsid w:val="00857932"/>
    <w:rsid w:val="00860360"/>
    <w:rsid w:val="00860430"/>
    <w:rsid w:val="00860581"/>
    <w:rsid w:val="00860F07"/>
    <w:rsid w:val="0086258C"/>
    <w:rsid w:val="008626FB"/>
    <w:rsid w:val="00862905"/>
    <w:rsid w:val="00862C31"/>
    <w:rsid w:val="00862C56"/>
    <w:rsid w:val="00864352"/>
    <w:rsid w:val="0086477F"/>
    <w:rsid w:val="0086564C"/>
    <w:rsid w:val="0086567C"/>
    <w:rsid w:val="00866041"/>
    <w:rsid w:val="008665F6"/>
    <w:rsid w:val="008668F5"/>
    <w:rsid w:val="00867396"/>
    <w:rsid w:val="0086783B"/>
    <w:rsid w:val="008679D2"/>
    <w:rsid w:val="00867B7D"/>
    <w:rsid w:val="00867FFA"/>
    <w:rsid w:val="00870039"/>
    <w:rsid w:val="00870151"/>
    <w:rsid w:val="00870689"/>
    <w:rsid w:val="00870E6D"/>
    <w:rsid w:val="00870FB3"/>
    <w:rsid w:val="00871132"/>
    <w:rsid w:val="00871213"/>
    <w:rsid w:val="0087195B"/>
    <w:rsid w:val="00871ABE"/>
    <w:rsid w:val="00871FE9"/>
    <w:rsid w:val="008723F7"/>
    <w:rsid w:val="008724F9"/>
    <w:rsid w:val="00872AF5"/>
    <w:rsid w:val="00872B60"/>
    <w:rsid w:val="00873407"/>
    <w:rsid w:val="0087362B"/>
    <w:rsid w:val="00873956"/>
    <w:rsid w:val="00873A62"/>
    <w:rsid w:val="00873B95"/>
    <w:rsid w:val="00873F0D"/>
    <w:rsid w:val="00874DAB"/>
    <w:rsid w:val="00874E34"/>
    <w:rsid w:val="00875118"/>
    <w:rsid w:val="00875143"/>
    <w:rsid w:val="00875A29"/>
    <w:rsid w:val="00875F14"/>
    <w:rsid w:val="008761CB"/>
    <w:rsid w:val="008766EE"/>
    <w:rsid w:val="00876959"/>
    <w:rsid w:val="00876ADF"/>
    <w:rsid w:val="0087776A"/>
    <w:rsid w:val="00877FA0"/>
    <w:rsid w:val="0088004B"/>
    <w:rsid w:val="008801FE"/>
    <w:rsid w:val="00880209"/>
    <w:rsid w:val="0088066B"/>
    <w:rsid w:val="0088070A"/>
    <w:rsid w:val="008809C0"/>
    <w:rsid w:val="00880F5E"/>
    <w:rsid w:val="0088122D"/>
    <w:rsid w:val="00881E0C"/>
    <w:rsid w:val="00881F4F"/>
    <w:rsid w:val="00882471"/>
    <w:rsid w:val="008826E9"/>
    <w:rsid w:val="00882EAC"/>
    <w:rsid w:val="00882FA3"/>
    <w:rsid w:val="00883EE0"/>
    <w:rsid w:val="00883F1A"/>
    <w:rsid w:val="008840F7"/>
    <w:rsid w:val="008844E0"/>
    <w:rsid w:val="00885D5C"/>
    <w:rsid w:val="0088676B"/>
    <w:rsid w:val="0088693D"/>
    <w:rsid w:val="008875BC"/>
    <w:rsid w:val="008876EA"/>
    <w:rsid w:val="00887928"/>
    <w:rsid w:val="00887F38"/>
    <w:rsid w:val="00890981"/>
    <w:rsid w:val="008909B5"/>
    <w:rsid w:val="00890A03"/>
    <w:rsid w:val="00890D99"/>
    <w:rsid w:val="008914A2"/>
    <w:rsid w:val="008925A1"/>
    <w:rsid w:val="0089268F"/>
    <w:rsid w:val="00892FAA"/>
    <w:rsid w:val="00892FB8"/>
    <w:rsid w:val="00893102"/>
    <w:rsid w:val="00893290"/>
    <w:rsid w:val="0089358C"/>
    <w:rsid w:val="00893A50"/>
    <w:rsid w:val="0089498B"/>
    <w:rsid w:val="00894A67"/>
    <w:rsid w:val="00895512"/>
    <w:rsid w:val="00895941"/>
    <w:rsid w:val="008964A5"/>
    <w:rsid w:val="008965B5"/>
    <w:rsid w:val="00896788"/>
    <w:rsid w:val="00896D85"/>
    <w:rsid w:val="00896E9B"/>
    <w:rsid w:val="00897EBA"/>
    <w:rsid w:val="00897F37"/>
    <w:rsid w:val="008A0467"/>
    <w:rsid w:val="008A0561"/>
    <w:rsid w:val="008A063E"/>
    <w:rsid w:val="008A0839"/>
    <w:rsid w:val="008A08C7"/>
    <w:rsid w:val="008A0912"/>
    <w:rsid w:val="008A0DC9"/>
    <w:rsid w:val="008A0ED5"/>
    <w:rsid w:val="008A111D"/>
    <w:rsid w:val="008A117B"/>
    <w:rsid w:val="008A117E"/>
    <w:rsid w:val="008A138E"/>
    <w:rsid w:val="008A13CB"/>
    <w:rsid w:val="008A260B"/>
    <w:rsid w:val="008A277F"/>
    <w:rsid w:val="008A301C"/>
    <w:rsid w:val="008A338A"/>
    <w:rsid w:val="008A3AB2"/>
    <w:rsid w:val="008A3FBB"/>
    <w:rsid w:val="008A43D4"/>
    <w:rsid w:val="008A46B7"/>
    <w:rsid w:val="008A46DD"/>
    <w:rsid w:val="008A48CA"/>
    <w:rsid w:val="008A4920"/>
    <w:rsid w:val="008A4E69"/>
    <w:rsid w:val="008A4F80"/>
    <w:rsid w:val="008A4FB1"/>
    <w:rsid w:val="008A4FDC"/>
    <w:rsid w:val="008A5089"/>
    <w:rsid w:val="008A571C"/>
    <w:rsid w:val="008A6821"/>
    <w:rsid w:val="008A6B26"/>
    <w:rsid w:val="008A754A"/>
    <w:rsid w:val="008B016A"/>
    <w:rsid w:val="008B025F"/>
    <w:rsid w:val="008B02EF"/>
    <w:rsid w:val="008B0B09"/>
    <w:rsid w:val="008B1442"/>
    <w:rsid w:val="008B1D96"/>
    <w:rsid w:val="008B2363"/>
    <w:rsid w:val="008B28A8"/>
    <w:rsid w:val="008B3373"/>
    <w:rsid w:val="008B3541"/>
    <w:rsid w:val="008B3578"/>
    <w:rsid w:val="008B36AD"/>
    <w:rsid w:val="008B4111"/>
    <w:rsid w:val="008B4926"/>
    <w:rsid w:val="008B4FF1"/>
    <w:rsid w:val="008B52EB"/>
    <w:rsid w:val="008B611D"/>
    <w:rsid w:val="008B66F1"/>
    <w:rsid w:val="008B6FDE"/>
    <w:rsid w:val="008B766D"/>
    <w:rsid w:val="008B79F4"/>
    <w:rsid w:val="008B7AEF"/>
    <w:rsid w:val="008B7DF9"/>
    <w:rsid w:val="008C0538"/>
    <w:rsid w:val="008C0F43"/>
    <w:rsid w:val="008C11DD"/>
    <w:rsid w:val="008C1684"/>
    <w:rsid w:val="008C18DE"/>
    <w:rsid w:val="008C19B4"/>
    <w:rsid w:val="008C1E4B"/>
    <w:rsid w:val="008C1F00"/>
    <w:rsid w:val="008C1FE1"/>
    <w:rsid w:val="008C3100"/>
    <w:rsid w:val="008C32F5"/>
    <w:rsid w:val="008C3590"/>
    <w:rsid w:val="008C396A"/>
    <w:rsid w:val="008C3BC7"/>
    <w:rsid w:val="008C3D03"/>
    <w:rsid w:val="008C479E"/>
    <w:rsid w:val="008C505F"/>
    <w:rsid w:val="008C516F"/>
    <w:rsid w:val="008C53AF"/>
    <w:rsid w:val="008C54EA"/>
    <w:rsid w:val="008C59B1"/>
    <w:rsid w:val="008C5BE6"/>
    <w:rsid w:val="008C65BB"/>
    <w:rsid w:val="008C67B6"/>
    <w:rsid w:val="008C68F1"/>
    <w:rsid w:val="008C6CD1"/>
    <w:rsid w:val="008D0521"/>
    <w:rsid w:val="008D085A"/>
    <w:rsid w:val="008D08E2"/>
    <w:rsid w:val="008D0BBA"/>
    <w:rsid w:val="008D0E17"/>
    <w:rsid w:val="008D0FF2"/>
    <w:rsid w:val="008D1062"/>
    <w:rsid w:val="008D1068"/>
    <w:rsid w:val="008D1103"/>
    <w:rsid w:val="008D116D"/>
    <w:rsid w:val="008D138E"/>
    <w:rsid w:val="008D1832"/>
    <w:rsid w:val="008D23D2"/>
    <w:rsid w:val="008D2471"/>
    <w:rsid w:val="008D24A1"/>
    <w:rsid w:val="008D282B"/>
    <w:rsid w:val="008D2B2E"/>
    <w:rsid w:val="008D2CC3"/>
    <w:rsid w:val="008D2EFD"/>
    <w:rsid w:val="008D3836"/>
    <w:rsid w:val="008D50BD"/>
    <w:rsid w:val="008D5664"/>
    <w:rsid w:val="008D569E"/>
    <w:rsid w:val="008D59BD"/>
    <w:rsid w:val="008D59E7"/>
    <w:rsid w:val="008D5FDE"/>
    <w:rsid w:val="008D6E60"/>
    <w:rsid w:val="008E03D0"/>
    <w:rsid w:val="008E0548"/>
    <w:rsid w:val="008E0B1F"/>
    <w:rsid w:val="008E1DCD"/>
    <w:rsid w:val="008E1DE7"/>
    <w:rsid w:val="008E1F7E"/>
    <w:rsid w:val="008E20C6"/>
    <w:rsid w:val="008E20D6"/>
    <w:rsid w:val="008E288F"/>
    <w:rsid w:val="008E344C"/>
    <w:rsid w:val="008E3A8E"/>
    <w:rsid w:val="008E3D56"/>
    <w:rsid w:val="008E4201"/>
    <w:rsid w:val="008E4473"/>
    <w:rsid w:val="008E488C"/>
    <w:rsid w:val="008E493F"/>
    <w:rsid w:val="008E4A60"/>
    <w:rsid w:val="008E4AE6"/>
    <w:rsid w:val="008E4B37"/>
    <w:rsid w:val="008E4E54"/>
    <w:rsid w:val="008E532E"/>
    <w:rsid w:val="008E5506"/>
    <w:rsid w:val="008E5851"/>
    <w:rsid w:val="008E5ABC"/>
    <w:rsid w:val="008E6491"/>
    <w:rsid w:val="008E71E7"/>
    <w:rsid w:val="008E762B"/>
    <w:rsid w:val="008F0323"/>
    <w:rsid w:val="008F05C2"/>
    <w:rsid w:val="008F05E3"/>
    <w:rsid w:val="008F0847"/>
    <w:rsid w:val="008F0BAD"/>
    <w:rsid w:val="008F0F4F"/>
    <w:rsid w:val="008F11A2"/>
    <w:rsid w:val="008F149F"/>
    <w:rsid w:val="008F1531"/>
    <w:rsid w:val="008F1589"/>
    <w:rsid w:val="008F18EB"/>
    <w:rsid w:val="008F2448"/>
    <w:rsid w:val="008F25A4"/>
    <w:rsid w:val="008F26CA"/>
    <w:rsid w:val="008F298A"/>
    <w:rsid w:val="008F2B7B"/>
    <w:rsid w:val="008F3057"/>
    <w:rsid w:val="008F32C0"/>
    <w:rsid w:val="008F37E7"/>
    <w:rsid w:val="008F3879"/>
    <w:rsid w:val="008F3A74"/>
    <w:rsid w:val="008F4C11"/>
    <w:rsid w:val="008F5831"/>
    <w:rsid w:val="008F5A6F"/>
    <w:rsid w:val="008F6655"/>
    <w:rsid w:val="008F6C06"/>
    <w:rsid w:val="008F706C"/>
    <w:rsid w:val="008F7254"/>
    <w:rsid w:val="008F7277"/>
    <w:rsid w:val="008F7CA9"/>
    <w:rsid w:val="008F7D8D"/>
    <w:rsid w:val="008F7DB9"/>
    <w:rsid w:val="00900477"/>
    <w:rsid w:val="00900493"/>
    <w:rsid w:val="00900576"/>
    <w:rsid w:val="009011AF"/>
    <w:rsid w:val="009011D2"/>
    <w:rsid w:val="00901278"/>
    <w:rsid w:val="009013CE"/>
    <w:rsid w:val="00901AE1"/>
    <w:rsid w:val="00901B4C"/>
    <w:rsid w:val="00901F0F"/>
    <w:rsid w:val="00902427"/>
    <w:rsid w:val="009025B5"/>
    <w:rsid w:val="00902834"/>
    <w:rsid w:val="00902C4A"/>
    <w:rsid w:val="009032C6"/>
    <w:rsid w:val="0090338F"/>
    <w:rsid w:val="009039E5"/>
    <w:rsid w:val="00903E04"/>
    <w:rsid w:val="00903F89"/>
    <w:rsid w:val="0090423A"/>
    <w:rsid w:val="00905B99"/>
    <w:rsid w:val="00905C2D"/>
    <w:rsid w:val="00905E2F"/>
    <w:rsid w:val="00906581"/>
    <w:rsid w:val="00907524"/>
    <w:rsid w:val="009077A4"/>
    <w:rsid w:val="009077E5"/>
    <w:rsid w:val="00907939"/>
    <w:rsid w:val="00907CAA"/>
    <w:rsid w:val="00910A28"/>
    <w:rsid w:val="00910E44"/>
    <w:rsid w:val="00910EF0"/>
    <w:rsid w:val="009113FF"/>
    <w:rsid w:val="009114AD"/>
    <w:rsid w:val="00911CD6"/>
    <w:rsid w:val="0091215C"/>
    <w:rsid w:val="009122ED"/>
    <w:rsid w:val="00912406"/>
    <w:rsid w:val="00912729"/>
    <w:rsid w:val="00912FD9"/>
    <w:rsid w:val="00913391"/>
    <w:rsid w:val="0091346C"/>
    <w:rsid w:val="00913749"/>
    <w:rsid w:val="00913A21"/>
    <w:rsid w:val="00914841"/>
    <w:rsid w:val="00914B9A"/>
    <w:rsid w:val="00914D4B"/>
    <w:rsid w:val="0091536B"/>
    <w:rsid w:val="009153A0"/>
    <w:rsid w:val="00915BF7"/>
    <w:rsid w:val="00915D2E"/>
    <w:rsid w:val="00915F36"/>
    <w:rsid w:val="009164C0"/>
    <w:rsid w:val="00916658"/>
    <w:rsid w:val="00916D01"/>
    <w:rsid w:val="00916EC1"/>
    <w:rsid w:val="00917742"/>
    <w:rsid w:val="00917A06"/>
    <w:rsid w:val="0092013A"/>
    <w:rsid w:val="009203A7"/>
    <w:rsid w:val="009208BB"/>
    <w:rsid w:val="00921327"/>
    <w:rsid w:val="00921341"/>
    <w:rsid w:val="00921A41"/>
    <w:rsid w:val="00922BEB"/>
    <w:rsid w:val="00922BEF"/>
    <w:rsid w:val="00922DC9"/>
    <w:rsid w:val="00922FE0"/>
    <w:rsid w:val="00923BAC"/>
    <w:rsid w:val="0092454B"/>
    <w:rsid w:val="009246DF"/>
    <w:rsid w:val="00924A69"/>
    <w:rsid w:val="00924FD7"/>
    <w:rsid w:val="00925130"/>
    <w:rsid w:val="009253CF"/>
    <w:rsid w:val="0092553B"/>
    <w:rsid w:val="00925D3E"/>
    <w:rsid w:val="009270DC"/>
    <w:rsid w:val="00927319"/>
    <w:rsid w:val="009275C8"/>
    <w:rsid w:val="009276B6"/>
    <w:rsid w:val="009277A5"/>
    <w:rsid w:val="00927DF7"/>
    <w:rsid w:val="00930105"/>
    <w:rsid w:val="00930DDA"/>
    <w:rsid w:val="00931CE6"/>
    <w:rsid w:val="00931E26"/>
    <w:rsid w:val="00931F26"/>
    <w:rsid w:val="009324C7"/>
    <w:rsid w:val="00933D93"/>
    <w:rsid w:val="009344A6"/>
    <w:rsid w:val="00934676"/>
    <w:rsid w:val="00934A8F"/>
    <w:rsid w:val="00934D69"/>
    <w:rsid w:val="00935054"/>
    <w:rsid w:val="009353BB"/>
    <w:rsid w:val="00935437"/>
    <w:rsid w:val="00935AD8"/>
    <w:rsid w:val="00935E67"/>
    <w:rsid w:val="00936447"/>
    <w:rsid w:val="009366D4"/>
    <w:rsid w:val="00937B0E"/>
    <w:rsid w:val="0094001C"/>
    <w:rsid w:val="00940025"/>
    <w:rsid w:val="00940738"/>
    <w:rsid w:val="009407C3"/>
    <w:rsid w:val="009409C3"/>
    <w:rsid w:val="009409F1"/>
    <w:rsid w:val="00941FF5"/>
    <w:rsid w:val="009426A8"/>
    <w:rsid w:val="009427BD"/>
    <w:rsid w:val="00942995"/>
    <w:rsid w:val="00942D90"/>
    <w:rsid w:val="009432C6"/>
    <w:rsid w:val="00943416"/>
    <w:rsid w:val="009443B7"/>
    <w:rsid w:val="009447A1"/>
    <w:rsid w:val="0094498F"/>
    <w:rsid w:val="00944C8E"/>
    <w:rsid w:val="009452E7"/>
    <w:rsid w:val="00945AE6"/>
    <w:rsid w:val="00945CD6"/>
    <w:rsid w:val="00946173"/>
    <w:rsid w:val="009463D8"/>
    <w:rsid w:val="00946423"/>
    <w:rsid w:val="009467AE"/>
    <w:rsid w:val="00946BB9"/>
    <w:rsid w:val="00946E0B"/>
    <w:rsid w:val="009472C9"/>
    <w:rsid w:val="0094756C"/>
    <w:rsid w:val="00947C91"/>
    <w:rsid w:val="009508B2"/>
    <w:rsid w:val="00950A61"/>
    <w:rsid w:val="009512A4"/>
    <w:rsid w:val="00951865"/>
    <w:rsid w:val="00951B28"/>
    <w:rsid w:val="00951B2C"/>
    <w:rsid w:val="00951BF0"/>
    <w:rsid w:val="0095202C"/>
    <w:rsid w:val="0095280A"/>
    <w:rsid w:val="00952CC9"/>
    <w:rsid w:val="00952CE3"/>
    <w:rsid w:val="009534EC"/>
    <w:rsid w:val="0095383A"/>
    <w:rsid w:val="00953A60"/>
    <w:rsid w:val="00953CCF"/>
    <w:rsid w:val="00953D0A"/>
    <w:rsid w:val="00953E4B"/>
    <w:rsid w:val="009542AD"/>
    <w:rsid w:val="00954D43"/>
    <w:rsid w:val="00954E6E"/>
    <w:rsid w:val="00955008"/>
    <w:rsid w:val="009557EA"/>
    <w:rsid w:val="00956355"/>
    <w:rsid w:val="009569E0"/>
    <w:rsid w:val="00956C93"/>
    <w:rsid w:val="00956D17"/>
    <w:rsid w:val="009573C4"/>
    <w:rsid w:val="00957DB0"/>
    <w:rsid w:val="00957F5B"/>
    <w:rsid w:val="009602BC"/>
    <w:rsid w:val="00960448"/>
    <w:rsid w:val="00960659"/>
    <w:rsid w:val="00960962"/>
    <w:rsid w:val="00960E5E"/>
    <w:rsid w:val="00960EE9"/>
    <w:rsid w:val="00961244"/>
    <w:rsid w:val="009612A6"/>
    <w:rsid w:val="0096183D"/>
    <w:rsid w:val="00961DB4"/>
    <w:rsid w:val="00961E80"/>
    <w:rsid w:val="00961FF5"/>
    <w:rsid w:val="0096202B"/>
    <w:rsid w:val="00962419"/>
    <w:rsid w:val="009629E5"/>
    <w:rsid w:val="00962AB1"/>
    <w:rsid w:val="00962BC2"/>
    <w:rsid w:val="00962C3F"/>
    <w:rsid w:val="00962F2A"/>
    <w:rsid w:val="00963080"/>
    <w:rsid w:val="00963462"/>
    <w:rsid w:val="009634DD"/>
    <w:rsid w:val="00963F20"/>
    <w:rsid w:val="00964181"/>
    <w:rsid w:val="009645AD"/>
    <w:rsid w:val="009646BF"/>
    <w:rsid w:val="009647A0"/>
    <w:rsid w:val="00964AA9"/>
    <w:rsid w:val="00964FC3"/>
    <w:rsid w:val="0096521E"/>
    <w:rsid w:val="00965A98"/>
    <w:rsid w:val="00965C73"/>
    <w:rsid w:val="00965D9D"/>
    <w:rsid w:val="0096600C"/>
    <w:rsid w:val="00966735"/>
    <w:rsid w:val="00966E54"/>
    <w:rsid w:val="00967086"/>
    <w:rsid w:val="00967A5A"/>
    <w:rsid w:val="00967A92"/>
    <w:rsid w:val="0097020C"/>
    <w:rsid w:val="0097023D"/>
    <w:rsid w:val="0097050A"/>
    <w:rsid w:val="009711E8"/>
    <w:rsid w:val="00971619"/>
    <w:rsid w:val="00971B43"/>
    <w:rsid w:val="00972741"/>
    <w:rsid w:val="00972976"/>
    <w:rsid w:val="00972E4D"/>
    <w:rsid w:val="00973909"/>
    <w:rsid w:val="00973BC4"/>
    <w:rsid w:val="00973C04"/>
    <w:rsid w:val="00974165"/>
    <w:rsid w:val="00975166"/>
    <w:rsid w:val="00975310"/>
    <w:rsid w:val="00976722"/>
    <w:rsid w:val="009769DD"/>
    <w:rsid w:val="0097716F"/>
    <w:rsid w:val="0097748A"/>
    <w:rsid w:val="00977AF5"/>
    <w:rsid w:val="00977E7E"/>
    <w:rsid w:val="00980A60"/>
    <w:rsid w:val="00980F5C"/>
    <w:rsid w:val="009812C4"/>
    <w:rsid w:val="009819A8"/>
    <w:rsid w:val="00981A8C"/>
    <w:rsid w:val="00981B14"/>
    <w:rsid w:val="00981F09"/>
    <w:rsid w:val="0098207D"/>
    <w:rsid w:val="00982080"/>
    <w:rsid w:val="009829A9"/>
    <w:rsid w:val="00982AC3"/>
    <w:rsid w:val="00982BB4"/>
    <w:rsid w:val="009836DE"/>
    <w:rsid w:val="00983B87"/>
    <w:rsid w:val="00983F4B"/>
    <w:rsid w:val="00984875"/>
    <w:rsid w:val="00984E3D"/>
    <w:rsid w:val="00984EC1"/>
    <w:rsid w:val="00984F37"/>
    <w:rsid w:val="00985646"/>
    <w:rsid w:val="00985650"/>
    <w:rsid w:val="00985979"/>
    <w:rsid w:val="0098614A"/>
    <w:rsid w:val="0098642A"/>
    <w:rsid w:val="00986686"/>
    <w:rsid w:val="00986DB9"/>
    <w:rsid w:val="00987601"/>
    <w:rsid w:val="00987DBD"/>
    <w:rsid w:val="00987DE8"/>
    <w:rsid w:val="00987F5D"/>
    <w:rsid w:val="00990207"/>
    <w:rsid w:val="0099100F"/>
    <w:rsid w:val="0099136E"/>
    <w:rsid w:val="00991528"/>
    <w:rsid w:val="009917AF"/>
    <w:rsid w:val="00991A76"/>
    <w:rsid w:val="0099207A"/>
    <w:rsid w:val="00992F2E"/>
    <w:rsid w:val="0099306B"/>
    <w:rsid w:val="0099341D"/>
    <w:rsid w:val="00993686"/>
    <w:rsid w:val="0099398F"/>
    <w:rsid w:val="00994CE0"/>
    <w:rsid w:val="00994F18"/>
    <w:rsid w:val="00995A8E"/>
    <w:rsid w:val="00995A9C"/>
    <w:rsid w:val="00995B92"/>
    <w:rsid w:val="00995E4F"/>
    <w:rsid w:val="0099672A"/>
    <w:rsid w:val="00996765"/>
    <w:rsid w:val="00996E76"/>
    <w:rsid w:val="009979DD"/>
    <w:rsid w:val="00997AE2"/>
    <w:rsid w:val="00997F85"/>
    <w:rsid w:val="009A004E"/>
    <w:rsid w:val="009A0461"/>
    <w:rsid w:val="009A0514"/>
    <w:rsid w:val="009A138B"/>
    <w:rsid w:val="009A1CE0"/>
    <w:rsid w:val="009A1D08"/>
    <w:rsid w:val="009A1E55"/>
    <w:rsid w:val="009A1F13"/>
    <w:rsid w:val="009A20B9"/>
    <w:rsid w:val="009A2200"/>
    <w:rsid w:val="009A225F"/>
    <w:rsid w:val="009A24DC"/>
    <w:rsid w:val="009A2890"/>
    <w:rsid w:val="009A2DBF"/>
    <w:rsid w:val="009A3147"/>
    <w:rsid w:val="009A326B"/>
    <w:rsid w:val="009A3857"/>
    <w:rsid w:val="009A3860"/>
    <w:rsid w:val="009A4589"/>
    <w:rsid w:val="009A46A3"/>
    <w:rsid w:val="009A4985"/>
    <w:rsid w:val="009A4A10"/>
    <w:rsid w:val="009A4FC7"/>
    <w:rsid w:val="009A5150"/>
    <w:rsid w:val="009A517A"/>
    <w:rsid w:val="009A5270"/>
    <w:rsid w:val="009A5945"/>
    <w:rsid w:val="009A630E"/>
    <w:rsid w:val="009A6891"/>
    <w:rsid w:val="009A6920"/>
    <w:rsid w:val="009A6A54"/>
    <w:rsid w:val="009A6B16"/>
    <w:rsid w:val="009A6CBD"/>
    <w:rsid w:val="009A6D6A"/>
    <w:rsid w:val="009A6DE2"/>
    <w:rsid w:val="009A723D"/>
    <w:rsid w:val="009A746B"/>
    <w:rsid w:val="009A74E5"/>
    <w:rsid w:val="009A766D"/>
    <w:rsid w:val="009A797E"/>
    <w:rsid w:val="009A7D28"/>
    <w:rsid w:val="009B0FA4"/>
    <w:rsid w:val="009B11E0"/>
    <w:rsid w:val="009B1CA7"/>
    <w:rsid w:val="009B1F96"/>
    <w:rsid w:val="009B2514"/>
    <w:rsid w:val="009B25CF"/>
    <w:rsid w:val="009B25D9"/>
    <w:rsid w:val="009B2621"/>
    <w:rsid w:val="009B27D3"/>
    <w:rsid w:val="009B2822"/>
    <w:rsid w:val="009B2C46"/>
    <w:rsid w:val="009B2DDB"/>
    <w:rsid w:val="009B2E71"/>
    <w:rsid w:val="009B31E4"/>
    <w:rsid w:val="009B3841"/>
    <w:rsid w:val="009B3F68"/>
    <w:rsid w:val="009B4C9B"/>
    <w:rsid w:val="009B55C9"/>
    <w:rsid w:val="009B5A96"/>
    <w:rsid w:val="009B6031"/>
    <w:rsid w:val="009B6365"/>
    <w:rsid w:val="009B66DC"/>
    <w:rsid w:val="009B6910"/>
    <w:rsid w:val="009B6F6A"/>
    <w:rsid w:val="009B78CC"/>
    <w:rsid w:val="009B7C1C"/>
    <w:rsid w:val="009C0116"/>
    <w:rsid w:val="009C03A6"/>
    <w:rsid w:val="009C08BB"/>
    <w:rsid w:val="009C0BCC"/>
    <w:rsid w:val="009C0D32"/>
    <w:rsid w:val="009C0EB2"/>
    <w:rsid w:val="009C0F6D"/>
    <w:rsid w:val="009C122D"/>
    <w:rsid w:val="009C1C1B"/>
    <w:rsid w:val="009C1C21"/>
    <w:rsid w:val="009C1D63"/>
    <w:rsid w:val="009C21A2"/>
    <w:rsid w:val="009C2308"/>
    <w:rsid w:val="009C2C07"/>
    <w:rsid w:val="009C2CB1"/>
    <w:rsid w:val="009C2F9D"/>
    <w:rsid w:val="009C3467"/>
    <w:rsid w:val="009C35ED"/>
    <w:rsid w:val="009C3ABB"/>
    <w:rsid w:val="009C56C4"/>
    <w:rsid w:val="009C59F7"/>
    <w:rsid w:val="009C5A4D"/>
    <w:rsid w:val="009C5CEA"/>
    <w:rsid w:val="009C5D62"/>
    <w:rsid w:val="009C5EF3"/>
    <w:rsid w:val="009C6076"/>
    <w:rsid w:val="009C7C6E"/>
    <w:rsid w:val="009D0084"/>
    <w:rsid w:val="009D0875"/>
    <w:rsid w:val="009D0D14"/>
    <w:rsid w:val="009D1383"/>
    <w:rsid w:val="009D13A2"/>
    <w:rsid w:val="009D1588"/>
    <w:rsid w:val="009D1A69"/>
    <w:rsid w:val="009D1D17"/>
    <w:rsid w:val="009D2380"/>
    <w:rsid w:val="009D2466"/>
    <w:rsid w:val="009D29E3"/>
    <w:rsid w:val="009D2DCC"/>
    <w:rsid w:val="009D2EB5"/>
    <w:rsid w:val="009D4B42"/>
    <w:rsid w:val="009D4B4C"/>
    <w:rsid w:val="009D5904"/>
    <w:rsid w:val="009D5A1B"/>
    <w:rsid w:val="009D5FA6"/>
    <w:rsid w:val="009D687D"/>
    <w:rsid w:val="009D759F"/>
    <w:rsid w:val="009D7839"/>
    <w:rsid w:val="009D7BE9"/>
    <w:rsid w:val="009D7D09"/>
    <w:rsid w:val="009D7FD0"/>
    <w:rsid w:val="009E01C8"/>
    <w:rsid w:val="009E0287"/>
    <w:rsid w:val="009E0657"/>
    <w:rsid w:val="009E0D2D"/>
    <w:rsid w:val="009E161C"/>
    <w:rsid w:val="009E1794"/>
    <w:rsid w:val="009E1EA1"/>
    <w:rsid w:val="009E227A"/>
    <w:rsid w:val="009E24A2"/>
    <w:rsid w:val="009E2737"/>
    <w:rsid w:val="009E3280"/>
    <w:rsid w:val="009E34B0"/>
    <w:rsid w:val="009E3B11"/>
    <w:rsid w:val="009E41E1"/>
    <w:rsid w:val="009E4AC6"/>
    <w:rsid w:val="009E4EE9"/>
    <w:rsid w:val="009E588F"/>
    <w:rsid w:val="009E6BBD"/>
    <w:rsid w:val="009E6BEC"/>
    <w:rsid w:val="009E71A6"/>
    <w:rsid w:val="009E7447"/>
    <w:rsid w:val="009E746F"/>
    <w:rsid w:val="009E7EAB"/>
    <w:rsid w:val="009E7F9F"/>
    <w:rsid w:val="009F0CF5"/>
    <w:rsid w:val="009F17A7"/>
    <w:rsid w:val="009F1BBB"/>
    <w:rsid w:val="009F1E6C"/>
    <w:rsid w:val="009F262E"/>
    <w:rsid w:val="009F2F4F"/>
    <w:rsid w:val="009F3027"/>
    <w:rsid w:val="009F306C"/>
    <w:rsid w:val="009F3CCB"/>
    <w:rsid w:val="009F4AE9"/>
    <w:rsid w:val="009F4F37"/>
    <w:rsid w:val="009F50B4"/>
    <w:rsid w:val="009F52A1"/>
    <w:rsid w:val="009F5343"/>
    <w:rsid w:val="009F5438"/>
    <w:rsid w:val="009F58BA"/>
    <w:rsid w:val="009F5CAF"/>
    <w:rsid w:val="009F5DF5"/>
    <w:rsid w:val="009F5FD6"/>
    <w:rsid w:val="009F62A9"/>
    <w:rsid w:val="009F631D"/>
    <w:rsid w:val="009F66FF"/>
    <w:rsid w:val="009F67F9"/>
    <w:rsid w:val="009F6876"/>
    <w:rsid w:val="009F6972"/>
    <w:rsid w:val="009F69C4"/>
    <w:rsid w:val="009F6A9F"/>
    <w:rsid w:val="009F7684"/>
    <w:rsid w:val="009F7A10"/>
    <w:rsid w:val="009F7A46"/>
    <w:rsid w:val="009F7B32"/>
    <w:rsid w:val="009F7FFE"/>
    <w:rsid w:val="00A001F6"/>
    <w:rsid w:val="00A010BF"/>
    <w:rsid w:val="00A0117F"/>
    <w:rsid w:val="00A01B03"/>
    <w:rsid w:val="00A01D14"/>
    <w:rsid w:val="00A01F55"/>
    <w:rsid w:val="00A02035"/>
    <w:rsid w:val="00A02059"/>
    <w:rsid w:val="00A020BB"/>
    <w:rsid w:val="00A02337"/>
    <w:rsid w:val="00A02E29"/>
    <w:rsid w:val="00A03543"/>
    <w:rsid w:val="00A036AE"/>
    <w:rsid w:val="00A0381E"/>
    <w:rsid w:val="00A039FF"/>
    <w:rsid w:val="00A03A26"/>
    <w:rsid w:val="00A03D8B"/>
    <w:rsid w:val="00A045DF"/>
    <w:rsid w:val="00A04812"/>
    <w:rsid w:val="00A04DAA"/>
    <w:rsid w:val="00A04F97"/>
    <w:rsid w:val="00A05167"/>
    <w:rsid w:val="00A05295"/>
    <w:rsid w:val="00A0533A"/>
    <w:rsid w:val="00A058A9"/>
    <w:rsid w:val="00A05922"/>
    <w:rsid w:val="00A05995"/>
    <w:rsid w:val="00A05D59"/>
    <w:rsid w:val="00A06361"/>
    <w:rsid w:val="00A06598"/>
    <w:rsid w:val="00A06680"/>
    <w:rsid w:val="00A06903"/>
    <w:rsid w:val="00A06D90"/>
    <w:rsid w:val="00A0768D"/>
    <w:rsid w:val="00A07920"/>
    <w:rsid w:val="00A07A54"/>
    <w:rsid w:val="00A07D71"/>
    <w:rsid w:val="00A07E70"/>
    <w:rsid w:val="00A104E5"/>
    <w:rsid w:val="00A1068A"/>
    <w:rsid w:val="00A110E6"/>
    <w:rsid w:val="00A114BC"/>
    <w:rsid w:val="00A117D2"/>
    <w:rsid w:val="00A11B0F"/>
    <w:rsid w:val="00A129BC"/>
    <w:rsid w:val="00A12A45"/>
    <w:rsid w:val="00A12BA3"/>
    <w:rsid w:val="00A13AE9"/>
    <w:rsid w:val="00A13B67"/>
    <w:rsid w:val="00A14361"/>
    <w:rsid w:val="00A143AC"/>
    <w:rsid w:val="00A14AD0"/>
    <w:rsid w:val="00A15B82"/>
    <w:rsid w:val="00A15D87"/>
    <w:rsid w:val="00A16718"/>
    <w:rsid w:val="00A16991"/>
    <w:rsid w:val="00A17107"/>
    <w:rsid w:val="00A1769F"/>
    <w:rsid w:val="00A17810"/>
    <w:rsid w:val="00A178C7"/>
    <w:rsid w:val="00A17ED5"/>
    <w:rsid w:val="00A20343"/>
    <w:rsid w:val="00A206CE"/>
    <w:rsid w:val="00A20D75"/>
    <w:rsid w:val="00A21138"/>
    <w:rsid w:val="00A211DF"/>
    <w:rsid w:val="00A216CD"/>
    <w:rsid w:val="00A21AF1"/>
    <w:rsid w:val="00A21D32"/>
    <w:rsid w:val="00A221FB"/>
    <w:rsid w:val="00A22479"/>
    <w:rsid w:val="00A2264F"/>
    <w:rsid w:val="00A22B61"/>
    <w:rsid w:val="00A22C54"/>
    <w:rsid w:val="00A22D81"/>
    <w:rsid w:val="00A231D8"/>
    <w:rsid w:val="00A2322A"/>
    <w:rsid w:val="00A2359E"/>
    <w:rsid w:val="00A23681"/>
    <w:rsid w:val="00A23BCD"/>
    <w:rsid w:val="00A243AD"/>
    <w:rsid w:val="00A244FF"/>
    <w:rsid w:val="00A24BC6"/>
    <w:rsid w:val="00A24D19"/>
    <w:rsid w:val="00A25226"/>
    <w:rsid w:val="00A25649"/>
    <w:rsid w:val="00A26196"/>
    <w:rsid w:val="00A2692E"/>
    <w:rsid w:val="00A26B4E"/>
    <w:rsid w:val="00A26FC0"/>
    <w:rsid w:val="00A273C5"/>
    <w:rsid w:val="00A2747F"/>
    <w:rsid w:val="00A27CD3"/>
    <w:rsid w:val="00A302F8"/>
    <w:rsid w:val="00A30D74"/>
    <w:rsid w:val="00A30F60"/>
    <w:rsid w:val="00A310DA"/>
    <w:rsid w:val="00A31AE2"/>
    <w:rsid w:val="00A323C7"/>
    <w:rsid w:val="00A324CA"/>
    <w:rsid w:val="00A329A3"/>
    <w:rsid w:val="00A32C8A"/>
    <w:rsid w:val="00A33390"/>
    <w:rsid w:val="00A342B7"/>
    <w:rsid w:val="00A343D0"/>
    <w:rsid w:val="00A3485B"/>
    <w:rsid w:val="00A3493D"/>
    <w:rsid w:val="00A34F8B"/>
    <w:rsid w:val="00A35B5B"/>
    <w:rsid w:val="00A35BFF"/>
    <w:rsid w:val="00A35D03"/>
    <w:rsid w:val="00A35E0E"/>
    <w:rsid w:val="00A362B5"/>
    <w:rsid w:val="00A36494"/>
    <w:rsid w:val="00A36677"/>
    <w:rsid w:val="00A36775"/>
    <w:rsid w:val="00A36C75"/>
    <w:rsid w:val="00A3702D"/>
    <w:rsid w:val="00A373FC"/>
    <w:rsid w:val="00A3792E"/>
    <w:rsid w:val="00A37CF2"/>
    <w:rsid w:val="00A402F7"/>
    <w:rsid w:val="00A403EE"/>
    <w:rsid w:val="00A405E3"/>
    <w:rsid w:val="00A40627"/>
    <w:rsid w:val="00A40E76"/>
    <w:rsid w:val="00A40EA2"/>
    <w:rsid w:val="00A40F11"/>
    <w:rsid w:val="00A412A5"/>
    <w:rsid w:val="00A412C7"/>
    <w:rsid w:val="00A41414"/>
    <w:rsid w:val="00A416EA"/>
    <w:rsid w:val="00A417B3"/>
    <w:rsid w:val="00A41904"/>
    <w:rsid w:val="00A41B28"/>
    <w:rsid w:val="00A42302"/>
    <w:rsid w:val="00A4253C"/>
    <w:rsid w:val="00A428CE"/>
    <w:rsid w:val="00A42C94"/>
    <w:rsid w:val="00A42C9A"/>
    <w:rsid w:val="00A42EBF"/>
    <w:rsid w:val="00A43C8C"/>
    <w:rsid w:val="00A43E4F"/>
    <w:rsid w:val="00A446D0"/>
    <w:rsid w:val="00A44812"/>
    <w:rsid w:val="00A44EE4"/>
    <w:rsid w:val="00A45A88"/>
    <w:rsid w:val="00A4644C"/>
    <w:rsid w:val="00A46470"/>
    <w:rsid w:val="00A464F7"/>
    <w:rsid w:val="00A4654E"/>
    <w:rsid w:val="00A46861"/>
    <w:rsid w:val="00A4690B"/>
    <w:rsid w:val="00A46B8B"/>
    <w:rsid w:val="00A46F4A"/>
    <w:rsid w:val="00A46FFE"/>
    <w:rsid w:val="00A47309"/>
    <w:rsid w:val="00A473B1"/>
    <w:rsid w:val="00A47F53"/>
    <w:rsid w:val="00A503C8"/>
    <w:rsid w:val="00A50852"/>
    <w:rsid w:val="00A5091F"/>
    <w:rsid w:val="00A509E0"/>
    <w:rsid w:val="00A50AC8"/>
    <w:rsid w:val="00A50F19"/>
    <w:rsid w:val="00A510D3"/>
    <w:rsid w:val="00A512B9"/>
    <w:rsid w:val="00A513C8"/>
    <w:rsid w:val="00A51C2D"/>
    <w:rsid w:val="00A51F1A"/>
    <w:rsid w:val="00A52764"/>
    <w:rsid w:val="00A52AB3"/>
    <w:rsid w:val="00A52E1D"/>
    <w:rsid w:val="00A5313A"/>
    <w:rsid w:val="00A533E2"/>
    <w:rsid w:val="00A536B2"/>
    <w:rsid w:val="00A53C3B"/>
    <w:rsid w:val="00A54845"/>
    <w:rsid w:val="00A548C3"/>
    <w:rsid w:val="00A55225"/>
    <w:rsid w:val="00A553D3"/>
    <w:rsid w:val="00A555C0"/>
    <w:rsid w:val="00A55CC6"/>
    <w:rsid w:val="00A560C6"/>
    <w:rsid w:val="00A56128"/>
    <w:rsid w:val="00A5629B"/>
    <w:rsid w:val="00A564CE"/>
    <w:rsid w:val="00A5674E"/>
    <w:rsid w:val="00A573E4"/>
    <w:rsid w:val="00A57AB1"/>
    <w:rsid w:val="00A57B67"/>
    <w:rsid w:val="00A57CBB"/>
    <w:rsid w:val="00A60762"/>
    <w:rsid w:val="00A6081D"/>
    <w:rsid w:val="00A6082D"/>
    <w:rsid w:val="00A608A4"/>
    <w:rsid w:val="00A60B61"/>
    <w:rsid w:val="00A6106D"/>
    <w:rsid w:val="00A613BC"/>
    <w:rsid w:val="00A615E4"/>
    <w:rsid w:val="00A6192D"/>
    <w:rsid w:val="00A6214E"/>
    <w:rsid w:val="00A62392"/>
    <w:rsid w:val="00A62555"/>
    <w:rsid w:val="00A62A86"/>
    <w:rsid w:val="00A62B91"/>
    <w:rsid w:val="00A62D55"/>
    <w:rsid w:val="00A62FDC"/>
    <w:rsid w:val="00A631BF"/>
    <w:rsid w:val="00A6329D"/>
    <w:rsid w:val="00A63D68"/>
    <w:rsid w:val="00A642EE"/>
    <w:rsid w:val="00A64467"/>
    <w:rsid w:val="00A6457C"/>
    <w:rsid w:val="00A64613"/>
    <w:rsid w:val="00A64E31"/>
    <w:rsid w:val="00A65394"/>
    <w:rsid w:val="00A656D9"/>
    <w:rsid w:val="00A6586A"/>
    <w:rsid w:val="00A658F4"/>
    <w:rsid w:val="00A65A89"/>
    <w:rsid w:val="00A65BA9"/>
    <w:rsid w:val="00A66D53"/>
    <w:rsid w:val="00A670AE"/>
    <w:rsid w:val="00A670EA"/>
    <w:rsid w:val="00A6731C"/>
    <w:rsid w:val="00A67601"/>
    <w:rsid w:val="00A678A9"/>
    <w:rsid w:val="00A6791E"/>
    <w:rsid w:val="00A708D3"/>
    <w:rsid w:val="00A70DAC"/>
    <w:rsid w:val="00A71B61"/>
    <w:rsid w:val="00A7238E"/>
    <w:rsid w:val="00A7271E"/>
    <w:rsid w:val="00A72FA5"/>
    <w:rsid w:val="00A73045"/>
    <w:rsid w:val="00A736A7"/>
    <w:rsid w:val="00A73C65"/>
    <w:rsid w:val="00A74342"/>
    <w:rsid w:val="00A743A1"/>
    <w:rsid w:val="00A74708"/>
    <w:rsid w:val="00A75180"/>
    <w:rsid w:val="00A75640"/>
    <w:rsid w:val="00A7658A"/>
    <w:rsid w:val="00A76BE3"/>
    <w:rsid w:val="00A76E4A"/>
    <w:rsid w:val="00A77231"/>
    <w:rsid w:val="00A772F6"/>
    <w:rsid w:val="00A7796C"/>
    <w:rsid w:val="00A80021"/>
    <w:rsid w:val="00A80A5B"/>
    <w:rsid w:val="00A81132"/>
    <w:rsid w:val="00A81408"/>
    <w:rsid w:val="00A815AB"/>
    <w:rsid w:val="00A8170C"/>
    <w:rsid w:val="00A81A84"/>
    <w:rsid w:val="00A81B43"/>
    <w:rsid w:val="00A81CAA"/>
    <w:rsid w:val="00A8237B"/>
    <w:rsid w:val="00A832B2"/>
    <w:rsid w:val="00A83EAC"/>
    <w:rsid w:val="00A83F31"/>
    <w:rsid w:val="00A842AA"/>
    <w:rsid w:val="00A845E2"/>
    <w:rsid w:val="00A84913"/>
    <w:rsid w:val="00A8495E"/>
    <w:rsid w:val="00A85899"/>
    <w:rsid w:val="00A85BF3"/>
    <w:rsid w:val="00A863AC"/>
    <w:rsid w:val="00A86AE8"/>
    <w:rsid w:val="00A876E2"/>
    <w:rsid w:val="00A87AC7"/>
    <w:rsid w:val="00A90002"/>
    <w:rsid w:val="00A90093"/>
    <w:rsid w:val="00A9054D"/>
    <w:rsid w:val="00A905A3"/>
    <w:rsid w:val="00A90979"/>
    <w:rsid w:val="00A90FE0"/>
    <w:rsid w:val="00A910E8"/>
    <w:rsid w:val="00A92A28"/>
    <w:rsid w:val="00A92C87"/>
    <w:rsid w:val="00A92EE3"/>
    <w:rsid w:val="00A92F26"/>
    <w:rsid w:val="00A92F79"/>
    <w:rsid w:val="00A92FDB"/>
    <w:rsid w:val="00A93121"/>
    <w:rsid w:val="00A931D4"/>
    <w:rsid w:val="00A94088"/>
    <w:rsid w:val="00A9409A"/>
    <w:rsid w:val="00A946D0"/>
    <w:rsid w:val="00A948B6"/>
    <w:rsid w:val="00A94B92"/>
    <w:rsid w:val="00A95AAB"/>
    <w:rsid w:val="00A95D1E"/>
    <w:rsid w:val="00A95DF7"/>
    <w:rsid w:val="00A9617D"/>
    <w:rsid w:val="00A96780"/>
    <w:rsid w:val="00A967F6"/>
    <w:rsid w:val="00A9691E"/>
    <w:rsid w:val="00A96D4D"/>
    <w:rsid w:val="00AA04DB"/>
    <w:rsid w:val="00AA092D"/>
    <w:rsid w:val="00AA0AC5"/>
    <w:rsid w:val="00AA195F"/>
    <w:rsid w:val="00AA1AB8"/>
    <w:rsid w:val="00AA1AFE"/>
    <w:rsid w:val="00AA1BC0"/>
    <w:rsid w:val="00AA1BC2"/>
    <w:rsid w:val="00AA200B"/>
    <w:rsid w:val="00AA214A"/>
    <w:rsid w:val="00AA25C2"/>
    <w:rsid w:val="00AA29AC"/>
    <w:rsid w:val="00AA2BBB"/>
    <w:rsid w:val="00AA35DB"/>
    <w:rsid w:val="00AA39C3"/>
    <w:rsid w:val="00AA3B1C"/>
    <w:rsid w:val="00AA43A4"/>
    <w:rsid w:val="00AA46AC"/>
    <w:rsid w:val="00AA46C8"/>
    <w:rsid w:val="00AA5201"/>
    <w:rsid w:val="00AA5471"/>
    <w:rsid w:val="00AA588B"/>
    <w:rsid w:val="00AA5999"/>
    <w:rsid w:val="00AA6067"/>
    <w:rsid w:val="00AA6414"/>
    <w:rsid w:val="00AA743B"/>
    <w:rsid w:val="00AA787A"/>
    <w:rsid w:val="00AA7CCB"/>
    <w:rsid w:val="00AB067E"/>
    <w:rsid w:val="00AB0E8D"/>
    <w:rsid w:val="00AB113C"/>
    <w:rsid w:val="00AB1596"/>
    <w:rsid w:val="00AB1B34"/>
    <w:rsid w:val="00AB1CF3"/>
    <w:rsid w:val="00AB1F7E"/>
    <w:rsid w:val="00AB1FD5"/>
    <w:rsid w:val="00AB2329"/>
    <w:rsid w:val="00AB2649"/>
    <w:rsid w:val="00AB2E98"/>
    <w:rsid w:val="00AB319F"/>
    <w:rsid w:val="00AB3217"/>
    <w:rsid w:val="00AB3900"/>
    <w:rsid w:val="00AB39C8"/>
    <w:rsid w:val="00AB3B35"/>
    <w:rsid w:val="00AB4052"/>
    <w:rsid w:val="00AB473B"/>
    <w:rsid w:val="00AB49EB"/>
    <w:rsid w:val="00AB5AD7"/>
    <w:rsid w:val="00AB5E3B"/>
    <w:rsid w:val="00AB60A9"/>
    <w:rsid w:val="00AB65E2"/>
    <w:rsid w:val="00AB6946"/>
    <w:rsid w:val="00AB6C3E"/>
    <w:rsid w:val="00AB6F89"/>
    <w:rsid w:val="00AB73BB"/>
    <w:rsid w:val="00AB7896"/>
    <w:rsid w:val="00AB7AED"/>
    <w:rsid w:val="00AC0465"/>
    <w:rsid w:val="00AC05FE"/>
    <w:rsid w:val="00AC06E6"/>
    <w:rsid w:val="00AC0AE3"/>
    <w:rsid w:val="00AC0E6A"/>
    <w:rsid w:val="00AC11FC"/>
    <w:rsid w:val="00AC156D"/>
    <w:rsid w:val="00AC160B"/>
    <w:rsid w:val="00AC177D"/>
    <w:rsid w:val="00AC1B2E"/>
    <w:rsid w:val="00AC1BC2"/>
    <w:rsid w:val="00AC24B1"/>
    <w:rsid w:val="00AC3460"/>
    <w:rsid w:val="00AC381A"/>
    <w:rsid w:val="00AC3A72"/>
    <w:rsid w:val="00AC3C6C"/>
    <w:rsid w:val="00AC3D10"/>
    <w:rsid w:val="00AC401B"/>
    <w:rsid w:val="00AC4AA2"/>
    <w:rsid w:val="00AC4BA4"/>
    <w:rsid w:val="00AC51E4"/>
    <w:rsid w:val="00AC54FE"/>
    <w:rsid w:val="00AC5D4E"/>
    <w:rsid w:val="00AC71AB"/>
    <w:rsid w:val="00AC73EC"/>
    <w:rsid w:val="00AD00E6"/>
    <w:rsid w:val="00AD0238"/>
    <w:rsid w:val="00AD033C"/>
    <w:rsid w:val="00AD0497"/>
    <w:rsid w:val="00AD054F"/>
    <w:rsid w:val="00AD0881"/>
    <w:rsid w:val="00AD13AD"/>
    <w:rsid w:val="00AD1457"/>
    <w:rsid w:val="00AD1D30"/>
    <w:rsid w:val="00AD1F08"/>
    <w:rsid w:val="00AD20AB"/>
    <w:rsid w:val="00AD246E"/>
    <w:rsid w:val="00AD2630"/>
    <w:rsid w:val="00AD2762"/>
    <w:rsid w:val="00AD2896"/>
    <w:rsid w:val="00AD2E7B"/>
    <w:rsid w:val="00AD307A"/>
    <w:rsid w:val="00AD3213"/>
    <w:rsid w:val="00AD34ED"/>
    <w:rsid w:val="00AD37CB"/>
    <w:rsid w:val="00AD4231"/>
    <w:rsid w:val="00AD496E"/>
    <w:rsid w:val="00AD4E46"/>
    <w:rsid w:val="00AD4E6C"/>
    <w:rsid w:val="00AD4F2B"/>
    <w:rsid w:val="00AD56FE"/>
    <w:rsid w:val="00AD5817"/>
    <w:rsid w:val="00AD5D55"/>
    <w:rsid w:val="00AD5D7B"/>
    <w:rsid w:val="00AD5F91"/>
    <w:rsid w:val="00AD618B"/>
    <w:rsid w:val="00AD61E0"/>
    <w:rsid w:val="00AD6899"/>
    <w:rsid w:val="00AD6E3A"/>
    <w:rsid w:val="00AD727E"/>
    <w:rsid w:val="00AD741D"/>
    <w:rsid w:val="00AD773F"/>
    <w:rsid w:val="00AD7B30"/>
    <w:rsid w:val="00AE0696"/>
    <w:rsid w:val="00AE0EB9"/>
    <w:rsid w:val="00AE10BA"/>
    <w:rsid w:val="00AE18CC"/>
    <w:rsid w:val="00AE252F"/>
    <w:rsid w:val="00AE254B"/>
    <w:rsid w:val="00AE2C3C"/>
    <w:rsid w:val="00AE2DDC"/>
    <w:rsid w:val="00AE326E"/>
    <w:rsid w:val="00AE331C"/>
    <w:rsid w:val="00AE3513"/>
    <w:rsid w:val="00AE3D50"/>
    <w:rsid w:val="00AE3FBF"/>
    <w:rsid w:val="00AE3FCD"/>
    <w:rsid w:val="00AE4367"/>
    <w:rsid w:val="00AE48AA"/>
    <w:rsid w:val="00AE4CA1"/>
    <w:rsid w:val="00AE4D75"/>
    <w:rsid w:val="00AE5191"/>
    <w:rsid w:val="00AE5314"/>
    <w:rsid w:val="00AE5BC0"/>
    <w:rsid w:val="00AE621C"/>
    <w:rsid w:val="00AE62E8"/>
    <w:rsid w:val="00AE6329"/>
    <w:rsid w:val="00AE6471"/>
    <w:rsid w:val="00AE680A"/>
    <w:rsid w:val="00AE6E9A"/>
    <w:rsid w:val="00AE7893"/>
    <w:rsid w:val="00AE7D5C"/>
    <w:rsid w:val="00AF0275"/>
    <w:rsid w:val="00AF0285"/>
    <w:rsid w:val="00AF052F"/>
    <w:rsid w:val="00AF0BDE"/>
    <w:rsid w:val="00AF0CE2"/>
    <w:rsid w:val="00AF0E94"/>
    <w:rsid w:val="00AF12D2"/>
    <w:rsid w:val="00AF1500"/>
    <w:rsid w:val="00AF173E"/>
    <w:rsid w:val="00AF19B7"/>
    <w:rsid w:val="00AF1B36"/>
    <w:rsid w:val="00AF26FF"/>
    <w:rsid w:val="00AF2E96"/>
    <w:rsid w:val="00AF3ADB"/>
    <w:rsid w:val="00AF3FB3"/>
    <w:rsid w:val="00AF425D"/>
    <w:rsid w:val="00AF4289"/>
    <w:rsid w:val="00AF42C0"/>
    <w:rsid w:val="00AF4AB7"/>
    <w:rsid w:val="00AF4EBA"/>
    <w:rsid w:val="00AF4ECC"/>
    <w:rsid w:val="00AF53D8"/>
    <w:rsid w:val="00AF5519"/>
    <w:rsid w:val="00AF5E58"/>
    <w:rsid w:val="00AF64FB"/>
    <w:rsid w:val="00AF7523"/>
    <w:rsid w:val="00AF7A84"/>
    <w:rsid w:val="00B0006A"/>
    <w:rsid w:val="00B001BC"/>
    <w:rsid w:val="00B010D3"/>
    <w:rsid w:val="00B01660"/>
    <w:rsid w:val="00B01912"/>
    <w:rsid w:val="00B0250C"/>
    <w:rsid w:val="00B02586"/>
    <w:rsid w:val="00B0266E"/>
    <w:rsid w:val="00B02A0F"/>
    <w:rsid w:val="00B02E10"/>
    <w:rsid w:val="00B02E5A"/>
    <w:rsid w:val="00B035F2"/>
    <w:rsid w:val="00B03702"/>
    <w:rsid w:val="00B03953"/>
    <w:rsid w:val="00B03A83"/>
    <w:rsid w:val="00B03D8A"/>
    <w:rsid w:val="00B04599"/>
    <w:rsid w:val="00B04CE8"/>
    <w:rsid w:val="00B05944"/>
    <w:rsid w:val="00B05957"/>
    <w:rsid w:val="00B05FF0"/>
    <w:rsid w:val="00B06217"/>
    <w:rsid w:val="00B065D8"/>
    <w:rsid w:val="00B066C8"/>
    <w:rsid w:val="00B06A07"/>
    <w:rsid w:val="00B0740B"/>
    <w:rsid w:val="00B07C26"/>
    <w:rsid w:val="00B1021C"/>
    <w:rsid w:val="00B1059A"/>
    <w:rsid w:val="00B10EF9"/>
    <w:rsid w:val="00B11026"/>
    <w:rsid w:val="00B11450"/>
    <w:rsid w:val="00B1196A"/>
    <w:rsid w:val="00B129C1"/>
    <w:rsid w:val="00B12F5B"/>
    <w:rsid w:val="00B12F74"/>
    <w:rsid w:val="00B130D1"/>
    <w:rsid w:val="00B1325C"/>
    <w:rsid w:val="00B13D42"/>
    <w:rsid w:val="00B14111"/>
    <w:rsid w:val="00B1478A"/>
    <w:rsid w:val="00B148D4"/>
    <w:rsid w:val="00B14A57"/>
    <w:rsid w:val="00B15F44"/>
    <w:rsid w:val="00B1666C"/>
    <w:rsid w:val="00B16BB4"/>
    <w:rsid w:val="00B1720D"/>
    <w:rsid w:val="00B17250"/>
    <w:rsid w:val="00B17434"/>
    <w:rsid w:val="00B17BCF"/>
    <w:rsid w:val="00B202D3"/>
    <w:rsid w:val="00B20F7D"/>
    <w:rsid w:val="00B2101E"/>
    <w:rsid w:val="00B2186F"/>
    <w:rsid w:val="00B21CDB"/>
    <w:rsid w:val="00B22159"/>
    <w:rsid w:val="00B222AD"/>
    <w:rsid w:val="00B228A4"/>
    <w:rsid w:val="00B235FD"/>
    <w:rsid w:val="00B23661"/>
    <w:rsid w:val="00B239BB"/>
    <w:rsid w:val="00B23F38"/>
    <w:rsid w:val="00B24355"/>
    <w:rsid w:val="00B24552"/>
    <w:rsid w:val="00B245A0"/>
    <w:rsid w:val="00B24B81"/>
    <w:rsid w:val="00B24DBE"/>
    <w:rsid w:val="00B252AD"/>
    <w:rsid w:val="00B2540C"/>
    <w:rsid w:val="00B25450"/>
    <w:rsid w:val="00B25C03"/>
    <w:rsid w:val="00B25EF4"/>
    <w:rsid w:val="00B264B9"/>
    <w:rsid w:val="00B266D1"/>
    <w:rsid w:val="00B26B1F"/>
    <w:rsid w:val="00B277D7"/>
    <w:rsid w:val="00B30307"/>
    <w:rsid w:val="00B3044C"/>
    <w:rsid w:val="00B305F7"/>
    <w:rsid w:val="00B3095F"/>
    <w:rsid w:val="00B30B07"/>
    <w:rsid w:val="00B319BF"/>
    <w:rsid w:val="00B31BC6"/>
    <w:rsid w:val="00B31F06"/>
    <w:rsid w:val="00B32722"/>
    <w:rsid w:val="00B3292A"/>
    <w:rsid w:val="00B32998"/>
    <w:rsid w:val="00B32EEA"/>
    <w:rsid w:val="00B33080"/>
    <w:rsid w:val="00B3325D"/>
    <w:rsid w:val="00B3387E"/>
    <w:rsid w:val="00B339CD"/>
    <w:rsid w:val="00B3410B"/>
    <w:rsid w:val="00B349E6"/>
    <w:rsid w:val="00B34FCD"/>
    <w:rsid w:val="00B358C3"/>
    <w:rsid w:val="00B358D8"/>
    <w:rsid w:val="00B359D2"/>
    <w:rsid w:val="00B359FF"/>
    <w:rsid w:val="00B35D43"/>
    <w:rsid w:val="00B36094"/>
    <w:rsid w:val="00B360AF"/>
    <w:rsid w:val="00B363A7"/>
    <w:rsid w:val="00B3646F"/>
    <w:rsid w:val="00B364A8"/>
    <w:rsid w:val="00B3650E"/>
    <w:rsid w:val="00B36872"/>
    <w:rsid w:val="00B36E74"/>
    <w:rsid w:val="00B37155"/>
    <w:rsid w:val="00B37FF2"/>
    <w:rsid w:val="00B40503"/>
    <w:rsid w:val="00B4059C"/>
    <w:rsid w:val="00B4070E"/>
    <w:rsid w:val="00B40776"/>
    <w:rsid w:val="00B40989"/>
    <w:rsid w:val="00B412DE"/>
    <w:rsid w:val="00B4130A"/>
    <w:rsid w:val="00B42444"/>
    <w:rsid w:val="00B42929"/>
    <w:rsid w:val="00B42B4E"/>
    <w:rsid w:val="00B42EF5"/>
    <w:rsid w:val="00B42EFD"/>
    <w:rsid w:val="00B43363"/>
    <w:rsid w:val="00B4352B"/>
    <w:rsid w:val="00B439AA"/>
    <w:rsid w:val="00B43BC3"/>
    <w:rsid w:val="00B43FF3"/>
    <w:rsid w:val="00B441AE"/>
    <w:rsid w:val="00B44690"/>
    <w:rsid w:val="00B446B9"/>
    <w:rsid w:val="00B44D45"/>
    <w:rsid w:val="00B44E51"/>
    <w:rsid w:val="00B45251"/>
    <w:rsid w:val="00B45A06"/>
    <w:rsid w:val="00B45BD0"/>
    <w:rsid w:val="00B46E33"/>
    <w:rsid w:val="00B46EAB"/>
    <w:rsid w:val="00B473FE"/>
    <w:rsid w:val="00B47854"/>
    <w:rsid w:val="00B479C0"/>
    <w:rsid w:val="00B47A6B"/>
    <w:rsid w:val="00B47E74"/>
    <w:rsid w:val="00B47E95"/>
    <w:rsid w:val="00B50062"/>
    <w:rsid w:val="00B503FA"/>
    <w:rsid w:val="00B504BF"/>
    <w:rsid w:val="00B50628"/>
    <w:rsid w:val="00B506EA"/>
    <w:rsid w:val="00B507C3"/>
    <w:rsid w:val="00B50DAF"/>
    <w:rsid w:val="00B51BB8"/>
    <w:rsid w:val="00B51D5B"/>
    <w:rsid w:val="00B52006"/>
    <w:rsid w:val="00B522DE"/>
    <w:rsid w:val="00B52C57"/>
    <w:rsid w:val="00B52DFC"/>
    <w:rsid w:val="00B53556"/>
    <w:rsid w:val="00B53768"/>
    <w:rsid w:val="00B53E3B"/>
    <w:rsid w:val="00B54210"/>
    <w:rsid w:val="00B5461F"/>
    <w:rsid w:val="00B54A06"/>
    <w:rsid w:val="00B54B40"/>
    <w:rsid w:val="00B55074"/>
    <w:rsid w:val="00B550A4"/>
    <w:rsid w:val="00B55666"/>
    <w:rsid w:val="00B560B1"/>
    <w:rsid w:val="00B56C3C"/>
    <w:rsid w:val="00B56D50"/>
    <w:rsid w:val="00B56EFE"/>
    <w:rsid w:val="00B5739B"/>
    <w:rsid w:val="00B57728"/>
    <w:rsid w:val="00B57A51"/>
    <w:rsid w:val="00B57E43"/>
    <w:rsid w:val="00B6094C"/>
    <w:rsid w:val="00B60DA4"/>
    <w:rsid w:val="00B60DCA"/>
    <w:rsid w:val="00B60F6E"/>
    <w:rsid w:val="00B610E7"/>
    <w:rsid w:val="00B6125C"/>
    <w:rsid w:val="00B61CAA"/>
    <w:rsid w:val="00B61CB4"/>
    <w:rsid w:val="00B622AE"/>
    <w:rsid w:val="00B625AE"/>
    <w:rsid w:val="00B6297F"/>
    <w:rsid w:val="00B636F6"/>
    <w:rsid w:val="00B63878"/>
    <w:rsid w:val="00B63A2E"/>
    <w:rsid w:val="00B642C3"/>
    <w:rsid w:val="00B64368"/>
    <w:rsid w:val="00B6492B"/>
    <w:rsid w:val="00B657F1"/>
    <w:rsid w:val="00B658F2"/>
    <w:rsid w:val="00B65DC7"/>
    <w:rsid w:val="00B65E73"/>
    <w:rsid w:val="00B66071"/>
    <w:rsid w:val="00B66093"/>
    <w:rsid w:val="00B66679"/>
    <w:rsid w:val="00B66A8F"/>
    <w:rsid w:val="00B66EDF"/>
    <w:rsid w:val="00B6720D"/>
    <w:rsid w:val="00B67435"/>
    <w:rsid w:val="00B67C02"/>
    <w:rsid w:val="00B70071"/>
    <w:rsid w:val="00B708FA"/>
    <w:rsid w:val="00B709EF"/>
    <w:rsid w:val="00B70C74"/>
    <w:rsid w:val="00B7117D"/>
    <w:rsid w:val="00B71547"/>
    <w:rsid w:val="00B719E6"/>
    <w:rsid w:val="00B71C0A"/>
    <w:rsid w:val="00B72053"/>
    <w:rsid w:val="00B72292"/>
    <w:rsid w:val="00B7285D"/>
    <w:rsid w:val="00B72DB8"/>
    <w:rsid w:val="00B737D7"/>
    <w:rsid w:val="00B73AB5"/>
    <w:rsid w:val="00B74402"/>
    <w:rsid w:val="00B74E2F"/>
    <w:rsid w:val="00B74FC7"/>
    <w:rsid w:val="00B75638"/>
    <w:rsid w:val="00B76006"/>
    <w:rsid w:val="00B76663"/>
    <w:rsid w:val="00B76D9E"/>
    <w:rsid w:val="00B76E26"/>
    <w:rsid w:val="00B77533"/>
    <w:rsid w:val="00B775F2"/>
    <w:rsid w:val="00B7779C"/>
    <w:rsid w:val="00B7794B"/>
    <w:rsid w:val="00B77AEB"/>
    <w:rsid w:val="00B8012B"/>
    <w:rsid w:val="00B80529"/>
    <w:rsid w:val="00B8079A"/>
    <w:rsid w:val="00B80D22"/>
    <w:rsid w:val="00B80E79"/>
    <w:rsid w:val="00B80EA4"/>
    <w:rsid w:val="00B8143C"/>
    <w:rsid w:val="00B81EDD"/>
    <w:rsid w:val="00B820E2"/>
    <w:rsid w:val="00B825E7"/>
    <w:rsid w:val="00B82B51"/>
    <w:rsid w:val="00B82EF7"/>
    <w:rsid w:val="00B82F17"/>
    <w:rsid w:val="00B8321E"/>
    <w:rsid w:val="00B83B15"/>
    <w:rsid w:val="00B83B46"/>
    <w:rsid w:val="00B83CB0"/>
    <w:rsid w:val="00B83D4F"/>
    <w:rsid w:val="00B83DE1"/>
    <w:rsid w:val="00B84152"/>
    <w:rsid w:val="00B843B4"/>
    <w:rsid w:val="00B84495"/>
    <w:rsid w:val="00B86464"/>
    <w:rsid w:val="00B87367"/>
    <w:rsid w:val="00B87C91"/>
    <w:rsid w:val="00B90377"/>
    <w:rsid w:val="00B90871"/>
    <w:rsid w:val="00B912EA"/>
    <w:rsid w:val="00B91F0F"/>
    <w:rsid w:val="00B92170"/>
    <w:rsid w:val="00B92244"/>
    <w:rsid w:val="00B9236B"/>
    <w:rsid w:val="00B926C4"/>
    <w:rsid w:val="00B9282C"/>
    <w:rsid w:val="00B92B7B"/>
    <w:rsid w:val="00B92C95"/>
    <w:rsid w:val="00B932E6"/>
    <w:rsid w:val="00B933CE"/>
    <w:rsid w:val="00B93532"/>
    <w:rsid w:val="00B93ADF"/>
    <w:rsid w:val="00B94348"/>
    <w:rsid w:val="00B95794"/>
    <w:rsid w:val="00B95D48"/>
    <w:rsid w:val="00B96A94"/>
    <w:rsid w:val="00B96E01"/>
    <w:rsid w:val="00B976B1"/>
    <w:rsid w:val="00B97928"/>
    <w:rsid w:val="00B97B10"/>
    <w:rsid w:val="00B97B66"/>
    <w:rsid w:val="00B97E20"/>
    <w:rsid w:val="00BA0293"/>
    <w:rsid w:val="00BA0444"/>
    <w:rsid w:val="00BA0498"/>
    <w:rsid w:val="00BA0B9D"/>
    <w:rsid w:val="00BA1069"/>
    <w:rsid w:val="00BA1213"/>
    <w:rsid w:val="00BA1727"/>
    <w:rsid w:val="00BA1B9D"/>
    <w:rsid w:val="00BA1D84"/>
    <w:rsid w:val="00BA1E0F"/>
    <w:rsid w:val="00BA231B"/>
    <w:rsid w:val="00BA2BB2"/>
    <w:rsid w:val="00BA2C9F"/>
    <w:rsid w:val="00BA2DF0"/>
    <w:rsid w:val="00BA312A"/>
    <w:rsid w:val="00BA3304"/>
    <w:rsid w:val="00BA354A"/>
    <w:rsid w:val="00BA3FD3"/>
    <w:rsid w:val="00BA47E9"/>
    <w:rsid w:val="00BA4D3D"/>
    <w:rsid w:val="00BA508E"/>
    <w:rsid w:val="00BA516D"/>
    <w:rsid w:val="00BA5375"/>
    <w:rsid w:val="00BA5784"/>
    <w:rsid w:val="00BA5967"/>
    <w:rsid w:val="00BA6960"/>
    <w:rsid w:val="00BA6AB6"/>
    <w:rsid w:val="00BA6AD8"/>
    <w:rsid w:val="00BA6DAB"/>
    <w:rsid w:val="00BA77B8"/>
    <w:rsid w:val="00BA7E7D"/>
    <w:rsid w:val="00BA7F12"/>
    <w:rsid w:val="00BA7FEF"/>
    <w:rsid w:val="00BB0016"/>
    <w:rsid w:val="00BB01C4"/>
    <w:rsid w:val="00BB0294"/>
    <w:rsid w:val="00BB054C"/>
    <w:rsid w:val="00BB0EBA"/>
    <w:rsid w:val="00BB14D2"/>
    <w:rsid w:val="00BB1507"/>
    <w:rsid w:val="00BB18E8"/>
    <w:rsid w:val="00BB1BC7"/>
    <w:rsid w:val="00BB2682"/>
    <w:rsid w:val="00BB345B"/>
    <w:rsid w:val="00BB3C6A"/>
    <w:rsid w:val="00BB3D87"/>
    <w:rsid w:val="00BB40D5"/>
    <w:rsid w:val="00BB44CC"/>
    <w:rsid w:val="00BB4674"/>
    <w:rsid w:val="00BB4687"/>
    <w:rsid w:val="00BB48B5"/>
    <w:rsid w:val="00BB49FA"/>
    <w:rsid w:val="00BB5B75"/>
    <w:rsid w:val="00BB6D88"/>
    <w:rsid w:val="00BB6EE2"/>
    <w:rsid w:val="00BB6F7D"/>
    <w:rsid w:val="00BB71A5"/>
    <w:rsid w:val="00BB7708"/>
    <w:rsid w:val="00BB7B94"/>
    <w:rsid w:val="00BC01D6"/>
    <w:rsid w:val="00BC0312"/>
    <w:rsid w:val="00BC05D5"/>
    <w:rsid w:val="00BC0E07"/>
    <w:rsid w:val="00BC0E28"/>
    <w:rsid w:val="00BC0F1E"/>
    <w:rsid w:val="00BC1576"/>
    <w:rsid w:val="00BC190F"/>
    <w:rsid w:val="00BC1B6E"/>
    <w:rsid w:val="00BC241A"/>
    <w:rsid w:val="00BC24D6"/>
    <w:rsid w:val="00BC2613"/>
    <w:rsid w:val="00BC28DD"/>
    <w:rsid w:val="00BC3265"/>
    <w:rsid w:val="00BC3553"/>
    <w:rsid w:val="00BC36A1"/>
    <w:rsid w:val="00BC42B0"/>
    <w:rsid w:val="00BC5482"/>
    <w:rsid w:val="00BC54A0"/>
    <w:rsid w:val="00BC5C7B"/>
    <w:rsid w:val="00BC63ED"/>
    <w:rsid w:val="00BC657E"/>
    <w:rsid w:val="00BC685A"/>
    <w:rsid w:val="00BC6E92"/>
    <w:rsid w:val="00BC7E45"/>
    <w:rsid w:val="00BD0241"/>
    <w:rsid w:val="00BD028F"/>
    <w:rsid w:val="00BD041E"/>
    <w:rsid w:val="00BD0436"/>
    <w:rsid w:val="00BD043D"/>
    <w:rsid w:val="00BD0599"/>
    <w:rsid w:val="00BD0A20"/>
    <w:rsid w:val="00BD0F8B"/>
    <w:rsid w:val="00BD14C0"/>
    <w:rsid w:val="00BD19DF"/>
    <w:rsid w:val="00BD2940"/>
    <w:rsid w:val="00BD2B6C"/>
    <w:rsid w:val="00BD30C8"/>
    <w:rsid w:val="00BD3A3E"/>
    <w:rsid w:val="00BD3C20"/>
    <w:rsid w:val="00BD3DA3"/>
    <w:rsid w:val="00BD3E95"/>
    <w:rsid w:val="00BD3F83"/>
    <w:rsid w:val="00BD417B"/>
    <w:rsid w:val="00BD4198"/>
    <w:rsid w:val="00BD4426"/>
    <w:rsid w:val="00BD49DB"/>
    <w:rsid w:val="00BD58B0"/>
    <w:rsid w:val="00BD5BB5"/>
    <w:rsid w:val="00BD63E2"/>
    <w:rsid w:val="00BD6D9A"/>
    <w:rsid w:val="00BD6E3A"/>
    <w:rsid w:val="00BD7036"/>
    <w:rsid w:val="00BD71E2"/>
    <w:rsid w:val="00BD73B8"/>
    <w:rsid w:val="00BD755A"/>
    <w:rsid w:val="00BD76D4"/>
    <w:rsid w:val="00BD7973"/>
    <w:rsid w:val="00BD7D2E"/>
    <w:rsid w:val="00BE02D3"/>
    <w:rsid w:val="00BE02D8"/>
    <w:rsid w:val="00BE055D"/>
    <w:rsid w:val="00BE067D"/>
    <w:rsid w:val="00BE0804"/>
    <w:rsid w:val="00BE0BEB"/>
    <w:rsid w:val="00BE0D3D"/>
    <w:rsid w:val="00BE0DBD"/>
    <w:rsid w:val="00BE1154"/>
    <w:rsid w:val="00BE1319"/>
    <w:rsid w:val="00BE163A"/>
    <w:rsid w:val="00BE1B01"/>
    <w:rsid w:val="00BE1B91"/>
    <w:rsid w:val="00BE1CAF"/>
    <w:rsid w:val="00BE23F3"/>
    <w:rsid w:val="00BE255A"/>
    <w:rsid w:val="00BE283E"/>
    <w:rsid w:val="00BE2A2E"/>
    <w:rsid w:val="00BE2DEA"/>
    <w:rsid w:val="00BE308B"/>
    <w:rsid w:val="00BE32AD"/>
    <w:rsid w:val="00BE45FF"/>
    <w:rsid w:val="00BE46A4"/>
    <w:rsid w:val="00BE4E23"/>
    <w:rsid w:val="00BE4E98"/>
    <w:rsid w:val="00BE55AA"/>
    <w:rsid w:val="00BE5B52"/>
    <w:rsid w:val="00BE5E9F"/>
    <w:rsid w:val="00BE6959"/>
    <w:rsid w:val="00BE6A37"/>
    <w:rsid w:val="00BE6A58"/>
    <w:rsid w:val="00BE6EB0"/>
    <w:rsid w:val="00BE6EC6"/>
    <w:rsid w:val="00BE6EDB"/>
    <w:rsid w:val="00BE7115"/>
    <w:rsid w:val="00BE75E1"/>
    <w:rsid w:val="00BE7961"/>
    <w:rsid w:val="00BE79E1"/>
    <w:rsid w:val="00BE7BE4"/>
    <w:rsid w:val="00BE7EBA"/>
    <w:rsid w:val="00BF02AE"/>
    <w:rsid w:val="00BF06D3"/>
    <w:rsid w:val="00BF0B2E"/>
    <w:rsid w:val="00BF1403"/>
    <w:rsid w:val="00BF1FCB"/>
    <w:rsid w:val="00BF202D"/>
    <w:rsid w:val="00BF2235"/>
    <w:rsid w:val="00BF226B"/>
    <w:rsid w:val="00BF2461"/>
    <w:rsid w:val="00BF2FD0"/>
    <w:rsid w:val="00BF2FD9"/>
    <w:rsid w:val="00BF34E4"/>
    <w:rsid w:val="00BF34EA"/>
    <w:rsid w:val="00BF3B1B"/>
    <w:rsid w:val="00BF421A"/>
    <w:rsid w:val="00BF43BC"/>
    <w:rsid w:val="00BF553B"/>
    <w:rsid w:val="00BF557B"/>
    <w:rsid w:val="00BF55E6"/>
    <w:rsid w:val="00BF58DC"/>
    <w:rsid w:val="00BF58E7"/>
    <w:rsid w:val="00BF5979"/>
    <w:rsid w:val="00BF5FAC"/>
    <w:rsid w:val="00BF63ED"/>
    <w:rsid w:val="00BF68EC"/>
    <w:rsid w:val="00BF6ABE"/>
    <w:rsid w:val="00BF6BFD"/>
    <w:rsid w:val="00BF6DED"/>
    <w:rsid w:val="00BF7007"/>
    <w:rsid w:val="00BF70CD"/>
    <w:rsid w:val="00BF72D9"/>
    <w:rsid w:val="00BF78C0"/>
    <w:rsid w:val="00BF794D"/>
    <w:rsid w:val="00BF7BA6"/>
    <w:rsid w:val="00BF7DC6"/>
    <w:rsid w:val="00BF7FD3"/>
    <w:rsid w:val="00C00206"/>
    <w:rsid w:val="00C00F10"/>
    <w:rsid w:val="00C01000"/>
    <w:rsid w:val="00C01170"/>
    <w:rsid w:val="00C0164F"/>
    <w:rsid w:val="00C01C52"/>
    <w:rsid w:val="00C01D4D"/>
    <w:rsid w:val="00C028E2"/>
    <w:rsid w:val="00C03075"/>
    <w:rsid w:val="00C03647"/>
    <w:rsid w:val="00C03AEC"/>
    <w:rsid w:val="00C03D7D"/>
    <w:rsid w:val="00C04763"/>
    <w:rsid w:val="00C04D53"/>
    <w:rsid w:val="00C050DA"/>
    <w:rsid w:val="00C05395"/>
    <w:rsid w:val="00C05465"/>
    <w:rsid w:val="00C054BC"/>
    <w:rsid w:val="00C05825"/>
    <w:rsid w:val="00C0591B"/>
    <w:rsid w:val="00C064A6"/>
    <w:rsid w:val="00C06691"/>
    <w:rsid w:val="00C066E4"/>
    <w:rsid w:val="00C066FC"/>
    <w:rsid w:val="00C06812"/>
    <w:rsid w:val="00C068C9"/>
    <w:rsid w:val="00C06C5F"/>
    <w:rsid w:val="00C07074"/>
    <w:rsid w:val="00C07251"/>
    <w:rsid w:val="00C07AB3"/>
    <w:rsid w:val="00C10546"/>
    <w:rsid w:val="00C10DED"/>
    <w:rsid w:val="00C11319"/>
    <w:rsid w:val="00C11494"/>
    <w:rsid w:val="00C11817"/>
    <w:rsid w:val="00C11D68"/>
    <w:rsid w:val="00C12285"/>
    <w:rsid w:val="00C122B5"/>
    <w:rsid w:val="00C1268E"/>
    <w:rsid w:val="00C12800"/>
    <w:rsid w:val="00C12B25"/>
    <w:rsid w:val="00C12D78"/>
    <w:rsid w:val="00C12F94"/>
    <w:rsid w:val="00C1350D"/>
    <w:rsid w:val="00C13B6F"/>
    <w:rsid w:val="00C13D69"/>
    <w:rsid w:val="00C14CC6"/>
    <w:rsid w:val="00C14EA0"/>
    <w:rsid w:val="00C15696"/>
    <w:rsid w:val="00C15D5C"/>
    <w:rsid w:val="00C16472"/>
    <w:rsid w:val="00C16B38"/>
    <w:rsid w:val="00C16CFE"/>
    <w:rsid w:val="00C16DAD"/>
    <w:rsid w:val="00C20501"/>
    <w:rsid w:val="00C21226"/>
    <w:rsid w:val="00C2179B"/>
    <w:rsid w:val="00C21A00"/>
    <w:rsid w:val="00C21A1D"/>
    <w:rsid w:val="00C21C2E"/>
    <w:rsid w:val="00C21C6E"/>
    <w:rsid w:val="00C21D7D"/>
    <w:rsid w:val="00C223C8"/>
    <w:rsid w:val="00C2283F"/>
    <w:rsid w:val="00C22EDF"/>
    <w:rsid w:val="00C22FDB"/>
    <w:rsid w:val="00C23373"/>
    <w:rsid w:val="00C235D3"/>
    <w:rsid w:val="00C2366F"/>
    <w:rsid w:val="00C2380D"/>
    <w:rsid w:val="00C238C4"/>
    <w:rsid w:val="00C23978"/>
    <w:rsid w:val="00C23D31"/>
    <w:rsid w:val="00C23E1B"/>
    <w:rsid w:val="00C23E47"/>
    <w:rsid w:val="00C24081"/>
    <w:rsid w:val="00C245C9"/>
    <w:rsid w:val="00C24B91"/>
    <w:rsid w:val="00C24C5F"/>
    <w:rsid w:val="00C25455"/>
    <w:rsid w:val="00C258CC"/>
    <w:rsid w:val="00C25B7F"/>
    <w:rsid w:val="00C25BE0"/>
    <w:rsid w:val="00C26140"/>
    <w:rsid w:val="00C263FB"/>
    <w:rsid w:val="00C265DE"/>
    <w:rsid w:val="00C266A4"/>
    <w:rsid w:val="00C269BF"/>
    <w:rsid w:val="00C26B2C"/>
    <w:rsid w:val="00C27212"/>
    <w:rsid w:val="00C27405"/>
    <w:rsid w:val="00C2747A"/>
    <w:rsid w:val="00C27662"/>
    <w:rsid w:val="00C2799D"/>
    <w:rsid w:val="00C309BF"/>
    <w:rsid w:val="00C30B1B"/>
    <w:rsid w:val="00C30B86"/>
    <w:rsid w:val="00C30DC3"/>
    <w:rsid w:val="00C311FF"/>
    <w:rsid w:val="00C31500"/>
    <w:rsid w:val="00C31584"/>
    <w:rsid w:val="00C31CB6"/>
    <w:rsid w:val="00C32A81"/>
    <w:rsid w:val="00C32C73"/>
    <w:rsid w:val="00C32DAC"/>
    <w:rsid w:val="00C33239"/>
    <w:rsid w:val="00C33354"/>
    <w:rsid w:val="00C33371"/>
    <w:rsid w:val="00C34045"/>
    <w:rsid w:val="00C34142"/>
    <w:rsid w:val="00C343D8"/>
    <w:rsid w:val="00C35485"/>
    <w:rsid w:val="00C3559E"/>
    <w:rsid w:val="00C35979"/>
    <w:rsid w:val="00C35B24"/>
    <w:rsid w:val="00C35B8C"/>
    <w:rsid w:val="00C36030"/>
    <w:rsid w:val="00C36129"/>
    <w:rsid w:val="00C3671A"/>
    <w:rsid w:val="00C3688F"/>
    <w:rsid w:val="00C368FB"/>
    <w:rsid w:val="00C36AF8"/>
    <w:rsid w:val="00C36D0F"/>
    <w:rsid w:val="00C36FD0"/>
    <w:rsid w:val="00C379FF"/>
    <w:rsid w:val="00C37BF6"/>
    <w:rsid w:val="00C4005D"/>
    <w:rsid w:val="00C406AA"/>
    <w:rsid w:val="00C41097"/>
    <w:rsid w:val="00C414DB"/>
    <w:rsid w:val="00C41686"/>
    <w:rsid w:val="00C41B74"/>
    <w:rsid w:val="00C41C0D"/>
    <w:rsid w:val="00C41E35"/>
    <w:rsid w:val="00C42008"/>
    <w:rsid w:val="00C424CA"/>
    <w:rsid w:val="00C425C0"/>
    <w:rsid w:val="00C4267C"/>
    <w:rsid w:val="00C42D06"/>
    <w:rsid w:val="00C42EEC"/>
    <w:rsid w:val="00C43005"/>
    <w:rsid w:val="00C43A96"/>
    <w:rsid w:val="00C43CCC"/>
    <w:rsid w:val="00C44328"/>
    <w:rsid w:val="00C44413"/>
    <w:rsid w:val="00C44B16"/>
    <w:rsid w:val="00C44B81"/>
    <w:rsid w:val="00C4560D"/>
    <w:rsid w:val="00C45D83"/>
    <w:rsid w:val="00C45E57"/>
    <w:rsid w:val="00C469DD"/>
    <w:rsid w:val="00C46ACC"/>
    <w:rsid w:val="00C4739B"/>
    <w:rsid w:val="00C4785F"/>
    <w:rsid w:val="00C50424"/>
    <w:rsid w:val="00C5090D"/>
    <w:rsid w:val="00C5097A"/>
    <w:rsid w:val="00C50C04"/>
    <w:rsid w:val="00C50DA1"/>
    <w:rsid w:val="00C50F17"/>
    <w:rsid w:val="00C512D8"/>
    <w:rsid w:val="00C51767"/>
    <w:rsid w:val="00C5194C"/>
    <w:rsid w:val="00C51FF0"/>
    <w:rsid w:val="00C51FF3"/>
    <w:rsid w:val="00C5225E"/>
    <w:rsid w:val="00C526BB"/>
    <w:rsid w:val="00C52779"/>
    <w:rsid w:val="00C52AB1"/>
    <w:rsid w:val="00C52F63"/>
    <w:rsid w:val="00C53644"/>
    <w:rsid w:val="00C5372B"/>
    <w:rsid w:val="00C53B37"/>
    <w:rsid w:val="00C53DCF"/>
    <w:rsid w:val="00C54000"/>
    <w:rsid w:val="00C54050"/>
    <w:rsid w:val="00C54295"/>
    <w:rsid w:val="00C5487E"/>
    <w:rsid w:val="00C54ADB"/>
    <w:rsid w:val="00C54B81"/>
    <w:rsid w:val="00C54E23"/>
    <w:rsid w:val="00C55B4B"/>
    <w:rsid w:val="00C55C8A"/>
    <w:rsid w:val="00C55CBE"/>
    <w:rsid w:val="00C5694C"/>
    <w:rsid w:val="00C56D50"/>
    <w:rsid w:val="00C56DED"/>
    <w:rsid w:val="00C56FA6"/>
    <w:rsid w:val="00C5717F"/>
    <w:rsid w:val="00C579A8"/>
    <w:rsid w:val="00C57D66"/>
    <w:rsid w:val="00C6001C"/>
    <w:rsid w:val="00C606A9"/>
    <w:rsid w:val="00C60FFB"/>
    <w:rsid w:val="00C61397"/>
    <w:rsid w:val="00C61A64"/>
    <w:rsid w:val="00C61E32"/>
    <w:rsid w:val="00C61FC6"/>
    <w:rsid w:val="00C62259"/>
    <w:rsid w:val="00C622D3"/>
    <w:rsid w:val="00C628AF"/>
    <w:rsid w:val="00C62A56"/>
    <w:rsid w:val="00C6349F"/>
    <w:rsid w:val="00C63831"/>
    <w:rsid w:val="00C63D2F"/>
    <w:rsid w:val="00C643E3"/>
    <w:rsid w:val="00C648A4"/>
    <w:rsid w:val="00C65668"/>
    <w:rsid w:val="00C65943"/>
    <w:rsid w:val="00C66876"/>
    <w:rsid w:val="00C66F5B"/>
    <w:rsid w:val="00C678EF"/>
    <w:rsid w:val="00C67A6B"/>
    <w:rsid w:val="00C67CCF"/>
    <w:rsid w:val="00C70272"/>
    <w:rsid w:val="00C70D15"/>
    <w:rsid w:val="00C7130C"/>
    <w:rsid w:val="00C71923"/>
    <w:rsid w:val="00C71CBB"/>
    <w:rsid w:val="00C71E0F"/>
    <w:rsid w:val="00C72449"/>
    <w:rsid w:val="00C72D07"/>
    <w:rsid w:val="00C72F6A"/>
    <w:rsid w:val="00C73220"/>
    <w:rsid w:val="00C73780"/>
    <w:rsid w:val="00C737FA"/>
    <w:rsid w:val="00C738AE"/>
    <w:rsid w:val="00C738DA"/>
    <w:rsid w:val="00C738EB"/>
    <w:rsid w:val="00C7465A"/>
    <w:rsid w:val="00C74764"/>
    <w:rsid w:val="00C74D64"/>
    <w:rsid w:val="00C74DCE"/>
    <w:rsid w:val="00C74F75"/>
    <w:rsid w:val="00C74FDE"/>
    <w:rsid w:val="00C75151"/>
    <w:rsid w:val="00C75204"/>
    <w:rsid w:val="00C75BB8"/>
    <w:rsid w:val="00C75C33"/>
    <w:rsid w:val="00C75DDE"/>
    <w:rsid w:val="00C76099"/>
    <w:rsid w:val="00C76241"/>
    <w:rsid w:val="00C76450"/>
    <w:rsid w:val="00C76D4E"/>
    <w:rsid w:val="00C7716E"/>
    <w:rsid w:val="00C774B0"/>
    <w:rsid w:val="00C77968"/>
    <w:rsid w:val="00C77A15"/>
    <w:rsid w:val="00C801C2"/>
    <w:rsid w:val="00C801C8"/>
    <w:rsid w:val="00C8024C"/>
    <w:rsid w:val="00C81594"/>
    <w:rsid w:val="00C82FA9"/>
    <w:rsid w:val="00C83023"/>
    <w:rsid w:val="00C836ED"/>
    <w:rsid w:val="00C83A80"/>
    <w:rsid w:val="00C83F99"/>
    <w:rsid w:val="00C84E22"/>
    <w:rsid w:val="00C85125"/>
    <w:rsid w:val="00C853C0"/>
    <w:rsid w:val="00C85D7F"/>
    <w:rsid w:val="00C85DC0"/>
    <w:rsid w:val="00C85EC6"/>
    <w:rsid w:val="00C86897"/>
    <w:rsid w:val="00C86A8B"/>
    <w:rsid w:val="00C874F8"/>
    <w:rsid w:val="00C87794"/>
    <w:rsid w:val="00C87907"/>
    <w:rsid w:val="00C87C49"/>
    <w:rsid w:val="00C87DD8"/>
    <w:rsid w:val="00C91101"/>
    <w:rsid w:val="00C91357"/>
    <w:rsid w:val="00C913BD"/>
    <w:rsid w:val="00C91618"/>
    <w:rsid w:val="00C917C3"/>
    <w:rsid w:val="00C91B58"/>
    <w:rsid w:val="00C92096"/>
    <w:rsid w:val="00C929B2"/>
    <w:rsid w:val="00C929EC"/>
    <w:rsid w:val="00C93082"/>
    <w:rsid w:val="00C93460"/>
    <w:rsid w:val="00C93488"/>
    <w:rsid w:val="00C938A6"/>
    <w:rsid w:val="00C93DBB"/>
    <w:rsid w:val="00C93E4B"/>
    <w:rsid w:val="00C94799"/>
    <w:rsid w:val="00C94A3A"/>
    <w:rsid w:val="00C950E4"/>
    <w:rsid w:val="00C954A1"/>
    <w:rsid w:val="00C958F0"/>
    <w:rsid w:val="00C95DBE"/>
    <w:rsid w:val="00C960A5"/>
    <w:rsid w:val="00C965A5"/>
    <w:rsid w:val="00C966DE"/>
    <w:rsid w:val="00C96AAE"/>
    <w:rsid w:val="00C97690"/>
    <w:rsid w:val="00CA0073"/>
    <w:rsid w:val="00CA00A9"/>
    <w:rsid w:val="00CA06FF"/>
    <w:rsid w:val="00CA090B"/>
    <w:rsid w:val="00CA0C78"/>
    <w:rsid w:val="00CA0E05"/>
    <w:rsid w:val="00CA1246"/>
    <w:rsid w:val="00CA158A"/>
    <w:rsid w:val="00CA1730"/>
    <w:rsid w:val="00CA19C9"/>
    <w:rsid w:val="00CA1B1D"/>
    <w:rsid w:val="00CA1DE3"/>
    <w:rsid w:val="00CA1F11"/>
    <w:rsid w:val="00CA2937"/>
    <w:rsid w:val="00CA3473"/>
    <w:rsid w:val="00CA360D"/>
    <w:rsid w:val="00CA3671"/>
    <w:rsid w:val="00CA36D7"/>
    <w:rsid w:val="00CA4431"/>
    <w:rsid w:val="00CA44BA"/>
    <w:rsid w:val="00CA48E1"/>
    <w:rsid w:val="00CA49C3"/>
    <w:rsid w:val="00CA4D11"/>
    <w:rsid w:val="00CA4D85"/>
    <w:rsid w:val="00CA550E"/>
    <w:rsid w:val="00CA58DB"/>
    <w:rsid w:val="00CA5AD2"/>
    <w:rsid w:val="00CA5EEA"/>
    <w:rsid w:val="00CA626A"/>
    <w:rsid w:val="00CA64A2"/>
    <w:rsid w:val="00CA6642"/>
    <w:rsid w:val="00CA6BC8"/>
    <w:rsid w:val="00CA6F3A"/>
    <w:rsid w:val="00CA71ED"/>
    <w:rsid w:val="00CA786F"/>
    <w:rsid w:val="00CA7A6B"/>
    <w:rsid w:val="00CA7CE8"/>
    <w:rsid w:val="00CB0168"/>
    <w:rsid w:val="00CB0668"/>
    <w:rsid w:val="00CB1371"/>
    <w:rsid w:val="00CB1709"/>
    <w:rsid w:val="00CB1CC4"/>
    <w:rsid w:val="00CB2454"/>
    <w:rsid w:val="00CB2CAF"/>
    <w:rsid w:val="00CB2DB6"/>
    <w:rsid w:val="00CB302F"/>
    <w:rsid w:val="00CB31B7"/>
    <w:rsid w:val="00CB3564"/>
    <w:rsid w:val="00CB3D1B"/>
    <w:rsid w:val="00CB3F2E"/>
    <w:rsid w:val="00CB4C90"/>
    <w:rsid w:val="00CB4DB4"/>
    <w:rsid w:val="00CB5303"/>
    <w:rsid w:val="00CB5440"/>
    <w:rsid w:val="00CB5811"/>
    <w:rsid w:val="00CB640B"/>
    <w:rsid w:val="00CB6643"/>
    <w:rsid w:val="00CB6900"/>
    <w:rsid w:val="00CB6D8D"/>
    <w:rsid w:val="00CB7D9B"/>
    <w:rsid w:val="00CB7F38"/>
    <w:rsid w:val="00CC09ED"/>
    <w:rsid w:val="00CC0A72"/>
    <w:rsid w:val="00CC0F8A"/>
    <w:rsid w:val="00CC169F"/>
    <w:rsid w:val="00CC1A01"/>
    <w:rsid w:val="00CC1A8F"/>
    <w:rsid w:val="00CC1BFC"/>
    <w:rsid w:val="00CC24CA"/>
    <w:rsid w:val="00CC2894"/>
    <w:rsid w:val="00CC2C7B"/>
    <w:rsid w:val="00CC3DC3"/>
    <w:rsid w:val="00CC405B"/>
    <w:rsid w:val="00CC4518"/>
    <w:rsid w:val="00CC48A8"/>
    <w:rsid w:val="00CC49FA"/>
    <w:rsid w:val="00CC5235"/>
    <w:rsid w:val="00CC5637"/>
    <w:rsid w:val="00CC59B2"/>
    <w:rsid w:val="00CC5BE4"/>
    <w:rsid w:val="00CC7465"/>
    <w:rsid w:val="00CC7611"/>
    <w:rsid w:val="00CD008D"/>
    <w:rsid w:val="00CD02D8"/>
    <w:rsid w:val="00CD04FB"/>
    <w:rsid w:val="00CD058A"/>
    <w:rsid w:val="00CD13F5"/>
    <w:rsid w:val="00CD1A6C"/>
    <w:rsid w:val="00CD22E4"/>
    <w:rsid w:val="00CD2A34"/>
    <w:rsid w:val="00CD2CB6"/>
    <w:rsid w:val="00CD366A"/>
    <w:rsid w:val="00CD3716"/>
    <w:rsid w:val="00CD3D1B"/>
    <w:rsid w:val="00CD4130"/>
    <w:rsid w:val="00CD4766"/>
    <w:rsid w:val="00CD4E18"/>
    <w:rsid w:val="00CD4EDB"/>
    <w:rsid w:val="00CD682C"/>
    <w:rsid w:val="00CD68CC"/>
    <w:rsid w:val="00CD7181"/>
    <w:rsid w:val="00CD7468"/>
    <w:rsid w:val="00CD752B"/>
    <w:rsid w:val="00CD79A0"/>
    <w:rsid w:val="00CD7CB1"/>
    <w:rsid w:val="00CE081A"/>
    <w:rsid w:val="00CE093A"/>
    <w:rsid w:val="00CE0A97"/>
    <w:rsid w:val="00CE0F91"/>
    <w:rsid w:val="00CE1015"/>
    <w:rsid w:val="00CE1746"/>
    <w:rsid w:val="00CE17FD"/>
    <w:rsid w:val="00CE1BD1"/>
    <w:rsid w:val="00CE22CC"/>
    <w:rsid w:val="00CE22E6"/>
    <w:rsid w:val="00CE252C"/>
    <w:rsid w:val="00CE3096"/>
    <w:rsid w:val="00CE313A"/>
    <w:rsid w:val="00CE4314"/>
    <w:rsid w:val="00CE4867"/>
    <w:rsid w:val="00CE4D7A"/>
    <w:rsid w:val="00CE5769"/>
    <w:rsid w:val="00CE58E0"/>
    <w:rsid w:val="00CE5B35"/>
    <w:rsid w:val="00CE603C"/>
    <w:rsid w:val="00CE681C"/>
    <w:rsid w:val="00CE6D78"/>
    <w:rsid w:val="00CE71A7"/>
    <w:rsid w:val="00CE7576"/>
    <w:rsid w:val="00CE7947"/>
    <w:rsid w:val="00CE7E8D"/>
    <w:rsid w:val="00CF0096"/>
    <w:rsid w:val="00CF0792"/>
    <w:rsid w:val="00CF0C94"/>
    <w:rsid w:val="00CF19A7"/>
    <w:rsid w:val="00CF1C85"/>
    <w:rsid w:val="00CF1F0A"/>
    <w:rsid w:val="00CF21FC"/>
    <w:rsid w:val="00CF2426"/>
    <w:rsid w:val="00CF2640"/>
    <w:rsid w:val="00CF2723"/>
    <w:rsid w:val="00CF3083"/>
    <w:rsid w:val="00CF367E"/>
    <w:rsid w:val="00CF3941"/>
    <w:rsid w:val="00CF3FB6"/>
    <w:rsid w:val="00CF4148"/>
    <w:rsid w:val="00CF46AE"/>
    <w:rsid w:val="00CF46D4"/>
    <w:rsid w:val="00CF49D0"/>
    <w:rsid w:val="00CF49E5"/>
    <w:rsid w:val="00CF4B5E"/>
    <w:rsid w:val="00CF4BA7"/>
    <w:rsid w:val="00CF4CEB"/>
    <w:rsid w:val="00CF4F63"/>
    <w:rsid w:val="00CF53FD"/>
    <w:rsid w:val="00CF543F"/>
    <w:rsid w:val="00CF56F7"/>
    <w:rsid w:val="00CF5A31"/>
    <w:rsid w:val="00CF611E"/>
    <w:rsid w:val="00CF6226"/>
    <w:rsid w:val="00CF6440"/>
    <w:rsid w:val="00CF6922"/>
    <w:rsid w:val="00CF6A6B"/>
    <w:rsid w:val="00CF6A85"/>
    <w:rsid w:val="00CF6CF8"/>
    <w:rsid w:val="00CF71E8"/>
    <w:rsid w:val="00CF7AC7"/>
    <w:rsid w:val="00CF7CED"/>
    <w:rsid w:val="00D0049F"/>
    <w:rsid w:val="00D00694"/>
    <w:rsid w:val="00D01870"/>
    <w:rsid w:val="00D01897"/>
    <w:rsid w:val="00D01A6D"/>
    <w:rsid w:val="00D021E2"/>
    <w:rsid w:val="00D0274C"/>
    <w:rsid w:val="00D02829"/>
    <w:rsid w:val="00D0285E"/>
    <w:rsid w:val="00D03066"/>
    <w:rsid w:val="00D039C7"/>
    <w:rsid w:val="00D03AB8"/>
    <w:rsid w:val="00D03F3D"/>
    <w:rsid w:val="00D04457"/>
    <w:rsid w:val="00D0579C"/>
    <w:rsid w:val="00D05FB8"/>
    <w:rsid w:val="00D060FC"/>
    <w:rsid w:val="00D06353"/>
    <w:rsid w:val="00D069CE"/>
    <w:rsid w:val="00D0770B"/>
    <w:rsid w:val="00D07C24"/>
    <w:rsid w:val="00D07D2F"/>
    <w:rsid w:val="00D07E98"/>
    <w:rsid w:val="00D07FAB"/>
    <w:rsid w:val="00D105CE"/>
    <w:rsid w:val="00D10682"/>
    <w:rsid w:val="00D10712"/>
    <w:rsid w:val="00D10A31"/>
    <w:rsid w:val="00D10C3F"/>
    <w:rsid w:val="00D10DA3"/>
    <w:rsid w:val="00D11E7A"/>
    <w:rsid w:val="00D11F89"/>
    <w:rsid w:val="00D1209F"/>
    <w:rsid w:val="00D125CB"/>
    <w:rsid w:val="00D12694"/>
    <w:rsid w:val="00D12766"/>
    <w:rsid w:val="00D12976"/>
    <w:rsid w:val="00D1352A"/>
    <w:rsid w:val="00D13CCB"/>
    <w:rsid w:val="00D13CE4"/>
    <w:rsid w:val="00D14176"/>
    <w:rsid w:val="00D143CA"/>
    <w:rsid w:val="00D15215"/>
    <w:rsid w:val="00D153A7"/>
    <w:rsid w:val="00D153FE"/>
    <w:rsid w:val="00D15476"/>
    <w:rsid w:val="00D15A1C"/>
    <w:rsid w:val="00D15C00"/>
    <w:rsid w:val="00D15F21"/>
    <w:rsid w:val="00D162EF"/>
    <w:rsid w:val="00D1654E"/>
    <w:rsid w:val="00D177D9"/>
    <w:rsid w:val="00D201E0"/>
    <w:rsid w:val="00D20749"/>
    <w:rsid w:val="00D21186"/>
    <w:rsid w:val="00D21643"/>
    <w:rsid w:val="00D21AB5"/>
    <w:rsid w:val="00D21DE1"/>
    <w:rsid w:val="00D21EB3"/>
    <w:rsid w:val="00D2232E"/>
    <w:rsid w:val="00D22578"/>
    <w:rsid w:val="00D22614"/>
    <w:rsid w:val="00D22779"/>
    <w:rsid w:val="00D23061"/>
    <w:rsid w:val="00D232B6"/>
    <w:rsid w:val="00D23668"/>
    <w:rsid w:val="00D2373D"/>
    <w:rsid w:val="00D239EE"/>
    <w:rsid w:val="00D241B3"/>
    <w:rsid w:val="00D2441C"/>
    <w:rsid w:val="00D24863"/>
    <w:rsid w:val="00D24BF2"/>
    <w:rsid w:val="00D24C33"/>
    <w:rsid w:val="00D25BC3"/>
    <w:rsid w:val="00D25CF1"/>
    <w:rsid w:val="00D2609D"/>
    <w:rsid w:val="00D260A1"/>
    <w:rsid w:val="00D2617A"/>
    <w:rsid w:val="00D26344"/>
    <w:rsid w:val="00D265F9"/>
    <w:rsid w:val="00D26C68"/>
    <w:rsid w:val="00D270F7"/>
    <w:rsid w:val="00D274A5"/>
    <w:rsid w:val="00D279CD"/>
    <w:rsid w:val="00D3082B"/>
    <w:rsid w:val="00D30A5C"/>
    <w:rsid w:val="00D30FE3"/>
    <w:rsid w:val="00D313BA"/>
    <w:rsid w:val="00D318F3"/>
    <w:rsid w:val="00D32055"/>
    <w:rsid w:val="00D3206E"/>
    <w:rsid w:val="00D321DB"/>
    <w:rsid w:val="00D327F9"/>
    <w:rsid w:val="00D32DE5"/>
    <w:rsid w:val="00D330C4"/>
    <w:rsid w:val="00D33A19"/>
    <w:rsid w:val="00D33D53"/>
    <w:rsid w:val="00D33EDC"/>
    <w:rsid w:val="00D33FAA"/>
    <w:rsid w:val="00D34018"/>
    <w:rsid w:val="00D343CF"/>
    <w:rsid w:val="00D3488B"/>
    <w:rsid w:val="00D348DF"/>
    <w:rsid w:val="00D35499"/>
    <w:rsid w:val="00D3564E"/>
    <w:rsid w:val="00D35B9C"/>
    <w:rsid w:val="00D35EE5"/>
    <w:rsid w:val="00D36677"/>
    <w:rsid w:val="00D36C66"/>
    <w:rsid w:val="00D37C21"/>
    <w:rsid w:val="00D40262"/>
    <w:rsid w:val="00D4049A"/>
    <w:rsid w:val="00D404F5"/>
    <w:rsid w:val="00D40714"/>
    <w:rsid w:val="00D4094E"/>
    <w:rsid w:val="00D40CAE"/>
    <w:rsid w:val="00D40F0C"/>
    <w:rsid w:val="00D40F26"/>
    <w:rsid w:val="00D41097"/>
    <w:rsid w:val="00D4181E"/>
    <w:rsid w:val="00D41908"/>
    <w:rsid w:val="00D41C49"/>
    <w:rsid w:val="00D4266B"/>
    <w:rsid w:val="00D42905"/>
    <w:rsid w:val="00D42D14"/>
    <w:rsid w:val="00D42ED2"/>
    <w:rsid w:val="00D4345C"/>
    <w:rsid w:val="00D434A3"/>
    <w:rsid w:val="00D4388C"/>
    <w:rsid w:val="00D43DE0"/>
    <w:rsid w:val="00D443B3"/>
    <w:rsid w:val="00D4441B"/>
    <w:rsid w:val="00D44A9E"/>
    <w:rsid w:val="00D44D81"/>
    <w:rsid w:val="00D46259"/>
    <w:rsid w:val="00D46595"/>
    <w:rsid w:val="00D466EE"/>
    <w:rsid w:val="00D46761"/>
    <w:rsid w:val="00D469AE"/>
    <w:rsid w:val="00D46EFB"/>
    <w:rsid w:val="00D4708D"/>
    <w:rsid w:val="00D47637"/>
    <w:rsid w:val="00D479A3"/>
    <w:rsid w:val="00D47D30"/>
    <w:rsid w:val="00D47EA9"/>
    <w:rsid w:val="00D50099"/>
    <w:rsid w:val="00D5013A"/>
    <w:rsid w:val="00D50A35"/>
    <w:rsid w:val="00D50AAF"/>
    <w:rsid w:val="00D5130A"/>
    <w:rsid w:val="00D5132E"/>
    <w:rsid w:val="00D51CF5"/>
    <w:rsid w:val="00D52914"/>
    <w:rsid w:val="00D52B3C"/>
    <w:rsid w:val="00D52C85"/>
    <w:rsid w:val="00D53448"/>
    <w:rsid w:val="00D538D8"/>
    <w:rsid w:val="00D53A59"/>
    <w:rsid w:val="00D53BE7"/>
    <w:rsid w:val="00D53C37"/>
    <w:rsid w:val="00D54D57"/>
    <w:rsid w:val="00D54DBB"/>
    <w:rsid w:val="00D54FDB"/>
    <w:rsid w:val="00D5535F"/>
    <w:rsid w:val="00D554EF"/>
    <w:rsid w:val="00D55D5C"/>
    <w:rsid w:val="00D55DB0"/>
    <w:rsid w:val="00D55FF0"/>
    <w:rsid w:val="00D56B5D"/>
    <w:rsid w:val="00D56FE7"/>
    <w:rsid w:val="00D5720C"/>
    <w:rsid w:val="00D57485"/>
    <w:rsid w:val="00D57787"/>
    <w:rsid w:val="00D60828"/>
    <w:rsid w:val="00D60AE3"/>
    <w:rsid w:val="00D60BBD"/>
    <w:rsid w:val="00D60D82"/>
    <w:rsid w:val="00D60F8E"/>
    <w:rsid w:val="00D61025"/>
    <w:rsid w:val="00D61407"/>
    <w:rsid w:val="00D622FA"/>
    <w:rsid w:val="00D625F2"/>
    <w:rsid w:val="00D627CB"/>
    <w:rsid w:val="00D62AB2"/>
    <w:rsid w:val="00D62D19"/>
    <w:rsid w:val="00D63663"/>
    <w:rsid w:val="00D63BA5"/>
    <w:rsid w:val="00D63F56"/>
    <w:rsid w:val="00D641F8"/>
    <w:rsid w:val="00D644AD"/>
    <w:rsid w:val="00D64A86"/>
    <w:rsid w:val="00D64C9A"/>
    <w:rsid w:val="00D64EC7"/>
    <w:rsid w:val="00D6510F"/>
    <w:rsid w:val="00D653E8"/>
    <w:rsid w:val="00D653EE"/>
    <w:rsid w:val="00D66075"/>
    <w:rsid w:val="00D663BA"/>
    <w:rsid w:val="00D663E7"/>
    <w:rsid w:val="00D667F9"/>
    <w:rsid w:val="00D66B7F"/>
    <w:rsid w:val="00D66E83"/>
    <w:rsid w:val="00D66F55"/>
    <w:rsid w:val="00D675F3"/>
    <w:rsid w:val="00D67C1B"/>
    <w:rsid w:val="00D70587"/>
    <w:rsid w:val="00D70645"/>
    <w:rsid w:val="00D710EB"/>
    <w:rsid w:val="00D713D3"/>
    <w:rsid w:val="00D71A20"/>
    <w:rsid w:val="00D71AB5"/>
    <w:rsid w:val="00D71B3D"/>
    <w:rsid w:val="00D71FBF"/>
    <w:rsid w:val="00D72573"/>
    <w:rsid w:val="00D73B1B"/>
    <w:rsid w:val="00D73C92"/>
    <w:rsid w:val="00D7461F"/>
    <w:rsid w:val="00D74D87"/>
    <w:rsid w:val="00D74E7D"/>
    <w:rsid w:val="00D7591B"/>
    <w:rsid w:val="00D761D7"/>
    <w:rsid w:val="00D7626E"/>
    <w:rsid w:val="00D76640"/>
    <w:rsid w:val="00D76DFC"/>
    <w:rsid w:val="00D770DF"/>
    <w:rsid w:val="00D7711C"/>
    <w:rsid w:val="00D77293"/>
    <w:rsid w:val="00D778D4"/>
    <w:rsid w:val="00D800F3"/>
    <w:rsid w:val="00D80D10"/>
    <w:rsid w:val="00D80EA5"/>
    <w:rsid w:val="00D80F32"/>
    <w:rsid w:val="00D8115F"/>
    <w:rsid w:val="00D81B83"/>
    <w:rsid w:val="00D81E74"/>
    <w:rsid w:val="00D82606"/>
    <w:rsid w:val="00D82659"/>
    <w:rsid w:val="00D832C7"/>
    <w:rsid w:val="00D833B3"/>
    <w:rsid w:val="00D834E6"/>
    <w:rsid w:val="00D838C6"/>
    <w:rsid w:val="00D83DC3"/>
    <w:rsid w:val="00D83F1C"/>
    <w:rsid w:val="00D8407E"/>
    <w:rsid w:val="00D842D2"/>
    <w:rsid w:val="00D843BA"/>
    <w:rsid w:val="00D8441E"/>
    <w:rsid w:val="00D84ACC"/>
    <w:rsid w:val="00D8537E"/>
    <w:rsid w:val="00D8583A"/>
    <w:rsid w:val="00D85C47"/>
    <w:rsid w:val="00D86349"/>
    <w:rsid w:val="00D8634C"/>
    <w:rsid w:val="00D86870"/>
    <w:rsid w:val="00D87B24"/>
    <w:rsid w:val="00D87FB3"/>
    <w:rsid w:val="00D9059A"/>
    <w:rsid w:val="00D90D93"/>
    <w:rsid w:val="00D91550"/>
    <w:rsid w:val="00D91DE5"/>
    <w:rsid w:val="00D924B7"/>
    <w:rsid w:val="00D924BE"/>
    <w:rsid w:val="00D927F8"/>
    <w:rsid w:val="00D92B8A"/>
    <w:rsid w:val="00D92DC0"/>
    <w:rsid w:val="00D92F77"/>
    <w:rsid w:val="00D9338D"/>
    <w:rsid w:val="00D936B2"/>
    <w:rsid w:val="00D93D10"/>
    <w:rsid w:val="00D94892"/>
    <w:rsid w:val="00D94FD3"/>
    <w:rsid w:val="00D954E8"/>
    <w:rsid w:val="00D95800"/>
    <w:rsid w:val="00D95839"/>
    <w:rsid w:val="00D9592C"/>
    <w:rsid w:val="00D95DAE"/>
    <w:rsid w:val="00D95E8D"/>
    <w:rsid w:val="00D9627A"/>
    <w:rsid w:val="00D96420"/>
    <w:rsid w:val="00D9675A"/>
    <w:rsid w:val="00D96A28"/>
    <w:rsid w:val="00D97100"/>
    <w:rsid w:val="00D977B9"/>
    <w:rsid w:val="00D97A69"/>
    <w:rsid w:val="00D97AFC"/>
    <w:rsid w:val="00D97FE4"/>
    <w:rsid w:val="00DA01CD"/>
    <w:rsid w:val="00DA0376"/>
    <w:rsid w:val="00DA08EA"/>
    <w:rsid w:val="00DA099F"/>
    <w:rsid w:val="00DA0A9A"/>
    <w:rsid w:val="00DA0A9F"/>
    <w:rsid w:val="00DA0C95"/>
    <w:rsid w:val="00DA1BB2"/>
    <w:rsid w:val="00DA23A1"/>
    <w:rsid w:val="00DA3483"/>
    <w:rsid w:val="00DA34A5"/>
    <w:rsid w:val="00DA352B"/>
    <w:rsid w:val="00DA3CB8"/>
    <w:rsid w:val="00DA3CCB"/>
    <w:rsid w:val="00DA3D1A"/>
    <w:rsid w:val="00DA3E14"/>
    <w:rsid w:val="00DA4984"/>
    <w:rsid w:val="00DA5153"/>
    <w:rsid w:val="00DA520D"/>
    <w:rsid w:val="00DA5702"/>
    <w:rsid w:val="00DA5ADE"/>
    <w:rsid w:val="00DA5C2C"/>
    <w:rsid w:val="00DA5E7A"/>
    <w:rsid w:val="00DA63CF"/>
    <w:rsid w:val="00DA6633"/>
    <w:rsid w:val="00DA6955"/>
    <w:rsid w:val="00DA7239"/>
    <w:rsid w:val="00DA7C1C"/>
    <w:rsid w:val="00DB0183"/>
    <w:rsid w:val="00DB126B"/>
    <w:rsid w:val="00DB1758"/>
    <w:rsid w:val="00DB1813"/>
    <w:rsid w:val="00DB1968"/>
    <w:rsid w:val="00DB246C"/>
    <w:rsid w:val="00DB2BA1"/>
    <w:rsid w:val="00DB2F1E"/>
    <w:rsid w:val="00DB33D2"/>
    <w:rsid w:val="00DB33F9"/>
    <w:rsid w:val="00DB37AD"/>
    <w:rsid w:val="00DB3D69"/>
    <w:rsid w:val="00DB4520"/>
    <w:rsid w:val="00DB456C"/>
    <w:rsid w:val="00DB487C"/>
    <w:rsid w:val="00DB4EF6"/>
    <w:rsid w:val="00DB55FB"/>
    <w:rsid w:val="00DB56FF"/>
    <w:rsid w:val="00DB581A"/>
    <w:rsid w:val="00DB5B21"/>
    <w:rsid w:val="00DB5DB5"/>
    <w:rsid w:val="00DB6015"/>
    <w:rsid w:val="00DB6EB1"/>
    <w:rsid w:val="00DB7EE9"/>
    <w:rsid w:val="00DC04B3"/>
    <w:rsid w:val="00DC07FC"/>
    <w:rsid w:val="00DC0D61"/>
    <w:rsid w:val="00DC0DA8"/>
    <w:rsid w:val="00DC1818"/>
    <w:rsid w:val="00DC203C"/>
    <w:rsid w:val="00DC2239"/>
    <w:rsid w:val="00DC28E7"/>
    <w:rsid w:val="00DC2937"/>
    <w:rsid w:val="00DC2AC2"/>
    <w:rsid w:val="00DC3403"/>
    <w:rsid w:val="00DC344A"/>
    <w:rsid w:val="00DC4730"/>
    <w:rsid w:val="00DC473B"/>
    <w:rsid w:val="00DC4935"/>
    <w:rsid w:val="00DC4BE2"/>
    <w:rsid w:val="00DC4DC2"/>
    <w:rsid w:val="00DC5053"/>
    <w:rsid w:val="00DC580B"/>
    <w:rsid w:val="00DC5BD0"/>
    <w:rsid w:val="00DC5EB4"/>
    <w:rsid w:val="00DC5FCF"/>
    <w:rsid w:val="00DC69D0"/>
    <w:rsid w:val="00DC7AFF"/>
    <w:rsid w:val="00DC7C77"/>
    <w:rsid w:val="00DC7D31"/>
    <w:rsid w:val="00DC7DBC"/>
    <w:rsid w:val="00DC7E8E"/>
    <w:rsid w:val="00DD028D"/>
    <w:rsid w:val="00DD03A4"/>
    <w:rsid w:val="00DD07AF"/>
    <w:rsid w:val="00DD0CBB"/>
    <w:rsid w:val="00DD1DCF"/>
    <w:rsid w:val="00DD2052"/>
    <w:rsid w:val="00DD2085"/>
    <w:rsid w:val="00DD30BA"/>
    <w:rsid w:val="00DD38A6"/>
    <w:rsid w:val="00DD3CF9"/>
    <w:rsid w:val="00DD44D7"/>
    <w:rsid w:val="00DD49A5"/>
    <w:rsid w:val="00DD4A56"/>
    <w:rsid w:val="00DD4BFF"/>
    <w:rsid w:val="00DD5013"/>
    <w:rsid w:val="00DD51C2"/>
    <w:rsid w:val="00DD541B"/>
    <w:rsid w:val="00DD56B4"/>
    <w:rsid w:val="00DD5B97"/>
    <w:rsid w:val="00DD5C65"/>
    <w:rsid w:val="00DD61CC"/>
    <w:rsid w:val="00DD62B5"/>
    <w:rsid w:val="00DD6478"/>
    <w:rsid w:val="00DD689E"/>
    <w:rsid w:val="00DD7038"/>
    <w:rsid w:val="00DD7244"/>
    <w:rsid w:val="00DD7BDA"/>
    <w:rsid w:val="00DE061D"/>
    <w:rsid w:val="00DE0736"/>
    <w:rsid w:val="00DE0FE6"/>
    <w:rsid w:val="00DE10B6"/>
    <w:rsid w:val="00DE10B7"/>
    <w:rsid w:val="00DE1950"/>
    <w:rsid w:val="00DE1DE7"/>
    <w:rsid w:val="00DE1F81"/>
    <w:rsid w:val="00DE2202"/>
    <w:rsid w:val="00DE23C1"/>
    <w:rsid w:val="00DE270C"/>
    <w:rsid w:val="00DE274C"/>
    <w:rsid w:val="00DE28BB"/>
    <w:rsid w:val="00DE2F9F"/>
    <w:rsid w:val="00DE32B5"/>
    <w:rsid w:val="00DE3C2D"/>
    <w:rsid w:val="00DE3D3D"/>
    <w:rsid w:val="00DE400C"/>
    <w:rsid w:val="00DE44F0"/>
    <w:rsid w:val="00DE4568"/>
    <w:rsid w:val="00DE4EB7"/>
    <w:rsid w:val="00DE4F93"/>
    <w:rsid w:val="00DE595B"/>
    <w:rsid w:val="00DE5EAA"/>
    <w:rsid w:val="00DE6058"/>
    <w:rsid w:val="00DE6425"/>
    <w:rsid w:val="00DE6724"/>
    <w:rsid w:val="00DE672D"/>
    <w:rsid w:val="00DE6776"/>
    <w:rsid w:val="00DE6FB0"/>
    <w:rsid w:val="00DE7D5B"/>
    <w:rsid w:val="00DE7E65"/>
    <w:rsid w:val="00DE7E91"/>
    <w:rsid w:val="00DF1A5D"/>
    <w:rsid w:val="00DF1C54"/>
    <w:rsid w:val="00DF1FFE"/>
    <w:rsid w:val="00DF2237"/>
    <w:rsid w:val="00DF22EC"/>
    <w:rsid w:val="00DF2983"/>
    <w:rsid w:val="00DF2A84"/>
    <w:rsid w:val="00DF2D41"/>
    <w:rsid w:val="00DF32C6"/>
    <w:rsid w:val="00DF3AA7"/>
    <w:rsid w:val="00DF3CF7"/>
    <w:rsid w:val="00DF3D1B"/>
    <w:rsid w:val="00DF41E1"/>
    <w:rsid w:val="00DF43F8"/>
    <w:rsid w:val="00DF455A"/>
    <w:rsid w:val="00DF5547"/>
    <w:rsid w:val="00DF584E"/>
    <w:rsid w:val="00DF5A18"/>
    <w:rsid w:val="00DF5ACA"/>
    <w:rsid w:val="00DF5F7E"/>
    <w:rsid w:val="00DF605C"/>
    <w:rsid w:val="00DF629F"/>
    <w:rsid w:val="00DF62C7"/>
    <w:rsid w:val="00DF6611"/>
    <w:rsid w:val="00DF69E6"/>
    <w:rsid w:val="00DF7498"/>
    <w:rsid w:val="00DF74C7"/>
    <w:rsid w:val="00DF7B18"/>
    <w:rsid w:val="00E000A5"/>
    <w:rsid w:val="00E005D7"/>
    <w:rsid w:val="00E00C54"/>
    <w:rsid w:val="00E00C5C"/>
    <w:rsid w:val="00E00CE9"/>
    <w:rsid w:val="00E01166"/>
    <w:rsid w:val="00E012CF"/>
    <w:rsid w:val="00E01A80"/>
    <w:rsid w:val="00E01D26"/>
    <w:rsid w:val="00E0204B"/>
    <w:rsid w:val="00E020E0"/>
    <w:rsid w:val="00E022C1"/>
    <w:rsid w:val="00E02311"/>
    <w:rsid w:val="00E02A94"/>
    <w:rsid w:val="00E03C09"/>
    <w:rsid w:val="00E03F75"/>
    <w:rsid w:val="00E04120"/>
    <w:rsid w:val="00E04CCE"/>
    <w:rsid w:val="00E04DEC"/>
    <w:rsid w:val="00E050E3"/>
    <w:rsid w:val="00E054E4"/>
    <w:rsid w:val="00E05A10"/>
    <w:rsid w:val="00E05B10"/>
    <w:rsid w:val="00E06181"/>
    <w:rsid w:val="00E06B7F"/>
    <w:rsid w:val="00E06B8D"/>
    <w:rsid w:val="00E06EA8"/>
    <w:rsid w:val="00E06FCC"/>
    <w:rsid w:val="00E07252"/>
    <w:rsid w:val="00E07753"/>
    <w:rsid w:val="00E101A8"/>
    <w:rsid w:val="00E10374"/>
    <w:rsid w:val="00E11061"/>
    <w:rsid w:val="00E11202"/>
    <w:rsid w:val="00E11351"/>
    <w:rsid w:val="00E11940"/>
    <w:rsid w:val="00E119B1"/>
    <w:rsid w:val="00E11C84"/>
    <w:rsid w:val="00E11D4D"/>
    <w:rsid w:val="00E13426"/>
    <w:rsid w:val="00E13859"/>
    <w:rsid w:val="00E13981"/>
    <w:rsid w:val="00E13A89"/>
    <w:rsid w:val="00E13C41"/>
    <w:rsid w:val="00E14E19"/>
    <w:rsid w:val="00E165A1"/>
    <w:rsid w:val="00E1679D"/>
    <w:rsid w:val="00E16B62"/>
    <w:rsid w:val="00E16EB5"/>
    <w:rsid w:val="00E1730D"/>
    <w:rsid w:val="00E17741"/>
    <w:rsid w:val="00E17C96"/>
    <w:rsid w:val="00E17F8F"/>
    <w:rsid w:val="00E20111"/>
    <w:rsid w:val="00E20224"/>
    <w:rsid w:val="00E2090F"/>
    <w:rsid w:val="00E20D8A"/>
    <w:rsid w:val="00E212E5"/>
    <w:rsid w:val="00E21A54"/>
    <w:rsid w:val="00E21A83"/>
    <w:rsid w:val="00E21B43"/>
    <w:rsid w:val="00E22218"/>
    <w:rsid w:val="00E22796"/>
    <w:rsid w:val="00E2323D"/>
    <w:rsid w:val="00E2349F"/>
    <w:rsid w:val="00E23531"/>
    <w:rsid w:val="00E235C9"/>
    <w:rsid w:val="00E23602"/>
    <w:rsid w:val="00E236C9"/>
    <w:rsid w:val="00E2381C"/>
    <w:rsid w:val="00E239EB"/>
    <w:rsid w:val="00E23C91"/>
    <w:rsid w:val="00E2420C"/>
    <w:rsid w:val="00E2454A"/>
    <w:rsid w:val="00E25245"/>
    <w:rsid w:val="00E260B2"/>
    <w:rsid w:val="00E26279"/>
    <w:rsid w:val="00E26369"/>
    <w:rsid w:val="00E27447"/>
    <w:rsid w:val="00E27573"/>
    <w:rsid w:val="00E2773B"/>
    <w:rsid w:val="00E27C36"/>
    <w:rsid w:val="00E27EF4"/>
    <w:rsid w:val="00E30090"/>
    <w:rsid w:val="00E306EF"/>
    <w:rsid w:val="00E3089E"/>
    <w:rsid w:val="00E32351"/>
    <w:rsid w:val="00E32857"/>
    <w:rsid w:val="00E329DE"/>
    <w:rsid w:val="00E33522"/>
    <w:rsid w:val="00E3376D"/>
    <w:rsid w:val="00E33C03"/>
    <w:rsid w:val="00E33E97"/>
    <w:rsid w:val="00E3438D"/>
    <w:rsid w:val="00E3445F"/>
    <w:rsid w:val="00E347EA"/>
    <w:rsid w:val="00E34F00"/>
    <w:rsid w:val="00E3504E"/>
    <w:rsid w:val="00E3523A"/>
    <w:rsid w:val="00E35371"/>
    <w:rsid w:val="00E35EC3"/>
    <w:rsid w:val="00E35F30"/>
    <w:rsid w:val="00E35F87"/>
    <w:rsid w:val="00E3624C"/>
    <w:rsid w:val="00E36598"/>
    <w:rsid w:val="00E36DC7"/>
    <w:rsid w:val="00E36DD5"/>
    <w:rsid w:val="00E36E61"/>
    <w:rsid w:val="00E3719D"/>
    <w:rsid w:val="00E37242"/>
    <w:rsid w:val="00E37513"/>
    <w:rsid w:val="00E37568"/>
    <w:rsid w:val="00E40121"/>
    <w:rsid w:val="00E40BA1"/>
    <w:rsid w:val="00E41184"/>
    <w:rsid w:val="00E4120C"/>
    <w:rsid w:val="00E41588"/>
    <w:rsid w:val="00E418A0"/>
    <w:rsid w:val="00E41E40"/>
    <w:rsid w:val="00E41F4D"/>
    <w:rsid w:val="00E42159"/>
    <w:rsid w:val="00E42537"/>
    <w:rsid w:val="00E429C6"/>
    <w:rsid w:val="00E43013"/>
    <w:rsid w:val="00E43569"/>
    <w:rsid w:val="00E43D42"/>
    <w:rsid w:val="00E441A1"/>
    <w:rsid w:val="00E44AE3"/>
    <w:rsid w:val="00E44D17"/>
    <w:rsid w:val="00E45291"/>
    <w:rsid w:val="00E45A26"/>
    <w:rsid w:val="00E4614B"/>
    <w:rsid w:val="00E46BDB"/>
    <w:rsid w:val="00E46CA9"/>
    <w:rsid w:val="00E46DEE"/>
    <w:rsid w:val="00E500E4"/>
    <w:rsid w:val="00E502F2"/>
    <w:rsid w:val="00E50937"/>
    <w:rsid w:val="00E50C60"/>
    <w:rsid w:val="00E50DB0"/>
    <w:rsid w:val="00E50E39"/>
    <w:rsid w:val="00E50F08"/>
    <w:rsid w:val="00E51200"/>
    <w:rsid w:val="00E512E0"/>
    <w:rsid w:val="00E5227F"/>
    <w:rsid w:val="00E52755"/>
    <w:rsid w:val="00E53F3C"/>
    <w:rsid w:val="00E53FAF"/>
    <w:rsid w:val="00E54791"/>
    <w:rsid w:val="00E54BF3"/>
    <w:rsid w:val="00E55308"/>
    <w:rsid w:val="00E55675"/>
    <w:rsid w:val="00E55F6E"/>
    <w:rsid w:val="00E56649"/>
    <w:rsid w:val="00E56993"/>
    <w:rsid w:val="00E56A19"/>
    <w:rsid w:val="00E56B22"/>
    <w:rsid w:val="00E56ED2"/>
    <w:rsid w:val="00E56F50"/>
    <w:rsid w:val="00E56FE3"/>
    <w:rsid w:val="00E5752A"/>
    <w:rsid w:val="00E57784"/>
    <w:rsid w:val="00E579E8"/>
    <w:rsid w:val="00E60177"/>
    <w:rsid w:val="00E613FA"/>
    <w:rsid w:val="00E61E20"/>
    <w:rsid w:val="00E6210F"/>
    <w:rsid w:val="00E626EA"/>
    <w:rsid w:val="00E626F2"/>
    <w:rsid w:val="00E6290E"/>
    <w:rsid w:val="00E62A4C"/>
    <w:rsid w:val="00E62DBB"/>
    <w:rsid w:val="00E62EB7"/>
    <w:rsid w:val="00E63016"/>
    <w:rsid w:val="00E63228"/>
    <w:rsid w:val="00E635B1"/>
    <w:rsid w:val="00E63853"/>
    <w:rsid w:val="00E63AC2"/>
    <w:rsid w:val="00E63D04"/>
    <w:rsid w:val="00E63E81"/>
    <w:rsid w:val="00E64345"/>
    <w:rsid w:val="00E645BD"/>
    <w:rsid w:val="00E64D5D"/>
    <w:rsid w:val="00E65564"/>
    <w:rsid w:val="00E65794"/>
    <w:rsid w:val="00E65FC4"/>
    <w:rsid w:val="00E662C0"/>
    <w:rsid w:val="00E66501"/>
    <w:rsid w:val="00E66BC2"/>
    <w:rsid w:val="00E66E76"/>
    <w:rsid w:val="00E66EE2"/>
    <w:rsid w:val="00E67024"/>
    <w:rsid w:val="00E67754"/>
    <w:rsid w:val="00E67788"/>
    <w:rsid w:val="00E67CDD"/>
    <w:rsid w:val="00E70466"/>
    <w:rsid w:val="00E7062D"/>
    <w:rsid w:val="00E70B5E"/>
    <w:rsid w:val="00E71180"/>
    <w:rsid w:val="00E71411"/>
    <w:rsid w:val="00E71B8B"/>
    <w:rsid w:val="00E726D2"/>
    <w:rsid w:val="00E729E8"/>
    <w:rsid w:val="00E72AA5"/>
    <w:rsid w:val="00E72C41"/>
    <w:rsid w:val="00E7344D"/>
    <w:rsid w:val="00E73CEA"/>
    <w:rsid w:val="00E73EE3"/>
    <w:rsid w:val="00E749E0"/>
    <w:rsid w:val="00E74B97"/>
    <w:rsid w:val="00E74D13"/>
    <w:rsid w:val="00E74FAC"/>
    <w:rsid w:val="00E75A06"/>
    <w:rsid w:val="00E75DED"/>
    <w:rsid w:val="00E75ECA"/>
    <w:rsid w:val="00E75FEF"/>
    <w:rsid w:val="00E7623D"/>
    <w:rsid w:val="00E76312"/>
    <w:rsid w:val="00E763AF"/>
    <w:rsid w:val="00E7683B"/>
    <w:rsid w:val="00E76ED5"/>
    <w:rsid w:val="00E77D74"/>
    <w:rsid w:val="00E77D79"/>
    <w:rsid w:val="00E77D9B"/>
    <w:rsid w:val="00E8035E"/>
    <w:rsid w:val="00E80812"/>
    <w:rsid w:val="00E80DB4"/>
    <w:rsid w:val="00E8130C"/>
    <w:rsid w:val="00E8225D"/>
    <w:rsid w:val="00E82917"/>
    <w:rsid w:val="00E830AF"/>
    <w:rsid w:val="00E8366D"/>
    <w:rsid w:val="00E83A08"/>
    <w:rsid w:val="00E83AF2"/>
    <w:rsid w:val="00E83B49"/>
    <w:rsid w:val="00E83CCE"/>
    <w:rsid w:val="00E847E8"/>
    <w:rsid w:val="00E847F6"/>
    <w:rsid w:val="00E849C3"/>
    <w:rsid w:val="00E84EB0"/>
    <w:rsid w:val="00E84EB5"/>
    <w:rsid w:val="00E84EED"/>
    <w:rsid w:val="00E8530D"/>
    <w:rsid w:val="00E85483"/>
    <w:rsid w:val="00E85513"/>
    <w:rsid w:val="00E8554D"/>
    <w:rsid w:val="00E85610"/>
    <w:rsid w:val="00E85965"/>
    <w:rsid w:val="00E85A71"/>
    <w:rsid w:val="00E862E0"/>
    <w:rsid w:val="00E865E3"/>
    <w:rsid w:val="00E86AE5"/>
    <w:rsid w:val="00E8756E"/>
    <w:rsid w:val="00E87F9A"/>
    <w:rsid w:val="00E9032A"/>
    <w:rsid w:val="00E903F2"/>
    <w:rsid w:val="00E9055B"/>
    <w:rsid w:val="00E905EC"/>
    <w:rsid w:val="00E90F92"/>
    <w:rsid w:val="00E919B1"/>
    <w:rsid w:val="00E91D88"/>
    <w:rsid w:val="00E91E3C"/>
    <w:rsid w:val="00E9234E"/>
    <w:rsid w:val="00E927AB"/>
    <w:rsid w:val="00E9313E"/>
    <w:rsid w:val="00E9334F"/>
    <w:rsid w:val="00E934AB"/>
    <w:rsid w:val="00E93527"/>
    <w:rsid w:val="00E93986"/>
    <w:rsid w:val="00E939DC"/>
    <w:rsid w:val="00E93A31"/>
    <w:rsid w:val="00E93BD0"/>
    <w:rsid w:val="00E93D9C"/>
    <w:rsid w:val="00E94366"/>
    <w:rsid w:val="00E9474C"/>
    <w:rsid w:val="00E947C6"/>
    <w:rsid w:val="00E949A5"/>
    <w:rsid w:val="00E94B1A"/>
    <w:rsid w:val="00E94D58"/>
    <w:rsid w:val="00E94E88"/>
    <w:rsid w:val="00E95073"/>
    <w:rsid w:val="00E954C0"/>
    <w:rsid w:val="00E95DF5"/>
    <w:rsid w:val="00E95FE5"/>
    <w:rsid w:val="00E96A9E"/>
    <w:rsid w:val="00E96E8E"/>
    <w:rsid w:val="00E97093"/>
    <w:rsid w:val="00E97302"/>
    <w:rsid w:val="00E97718"/>
    <w:rsid w:val="00E97904"/>
    <w:rsid w:val="00E979D9"/>
    <w:rsid w:val="00E97C91"/>
    <w:rsid w:val="00E97E8C"/>
    <w:rsid w:val="00EA0F5E"/>
    <w:rsid w:val="00EA100C"/>
    <w:rsid w:val="00EA10ED"/>
    <w:rsid w:val="00EA1B23"/>
    <w:rsid w:val="00EA1EB7"/>
    <w:rsid w:val="00EA272D"/>
    <w:rsid w:val="00EA2D56"/>
    <w:rsid w:val="00EA33A2"/>
    <w:rsid w:val="00EA3C9D"/>
    <w:rsid w:val="00EA3E48"/>
    <w:rsid w:val="00EA3FEC"/>
    <w:rsid w:val="00EA4106"/>
    <w:rsid w:val="00EA4588"/>
    <w:rsid w:val="00EA460E"/>
    <w:rsid w:val="00EA498B"/>
    <w:rsid w:val="00EA4DAB"/>
    <w:rsid w:val="00EA6698"/>
    <w:rsid w:val="00EA71D9"/>
    <w:rsid w:val="00EA7216"/>
    <w:rsid w:val="00EA72B5"/>
    <w:rsid w:val="00EA7339"/>
    <w:rsid w:val="00EA7C91"/>
    <w:rsid w:val="00EA7E72"/>
    <w:rsid w:val="00EB0520"/>
    <w:rsid w:val="00EB08BB"/>
    <w:rsid w:val="00EB0C3F"/>
    <w:rsid w:val="00EB2010"/>
    <w:rsid w:val="00EB2106"/>
    <w:rsid w:val="00EB21D1"/>
    <w:rsid w:val="00EB2A0F"/>
    <w:rsid w:val="00EB2D7B"/>
    <w:rsid w:val="00EB34FB"/>
    <w:rsid w:val="00EB377D"/>
    <w:rsid w:val="00EB3A78"/>
    <w:rsid w:val="00EB3E2B"/>
    <w:rsid w:val="00EB3F60"/>
    <w:rsid w:val="00EB438A"/>
    <w:rsid w:val="00EB46F4"/>
    <w:rsid w:val="00EB4EA6"/>
    <w:rsid w:val="00EB5340"/>
    <w:rsid w:val="00EB56F0"/>
    <w:rsid w:val="00EB5BCA"/>
    <w:rsid w:val="00EB5FF8"/>
    <w:rsid w:val="00EB693A"/>
    <w:rsid w:val="00EB7416"/>
    <w:rsid w:val="00EB74F4"/>
    <w:rsid w:val="00EB79D3"/>
    <w:rsid w:val="00EB7E34"/>
    <w:rsid w:val="00EC03CE"/>
    <w:rsid w:val="00EC0453"/>
    <w:rsid w:val="00EC0AB0"/>
    <w:rsid w:val="00EC13E7"/>
    <w:rsid w:val="00EC161E"/>
    <w:rsid w:val="00EC16BA"/>
    <w:rsid w:val="00EC18A3"/>
    <w:rsid w:val="00EC18B6"/>
    <w:rsid w:val="00EC1DA0"/>
    <w:rsid w:val="00EC2408"/>
    <w:rsid w:val="00EC2BE5"/>
    <w:rsid w:val="00EC2D98"/>
    <w:rsid w:val="00EC44CF"/>
    <w:rsid w:val="00EC454A"/>
    <w:rsid w:val="00EC68D0"/>
    <w:rsid w:val="00EC694F"/>
    <w:rsid w:val="00EC6962"/>
    <w:rsid w:val="00EC6E81"/>
    <w:rsid w:val="00EC72CB"/>
    <w:rsid w:val="00EC7EDD"/>
    <w:rsid w:val="00ED007F"/>
    <w:rsid w:val="00ED0924"/>
    <w:rsid w:val="00ED0B61"/>
    <w:rsid w:val="00ED0D15"/>
    <w:rsid w:val="00ED0D76"/>
    <w:rsid w:val="00ED0DDE"/>
    <w:rsid w:val="00ED1079"/>
    <w:rsid w:val="00ED11FB"/>
    <w:rsid w:val="00ED1836"/>
    <w:rsid w:val="00ED2023"/>
    <w:rsid w:val="00ED2184"/>
    <w:rsid w:val="00ED250B"/>
    <w:rsid w:val="00ED277A"/>
    <w:rsid w:val="00ED296D"/>
    <w:rsid w:val="00ED2BB6"/>
    <w:rsid w:val="00ED2BB7"/>
    <w:rsid w:val="00ED3A83"/>
    <w:rsid w:val="00ED4DA0"/>
    <w:rsid w:val="00ED54B2"/>
    <w:rsid w:val="00ED5EFD"/>
    <w:rsid w:val="00ED64DF"/>
    <w:rsid w:val="00ED6AA4"/>
    <w:rsid w:val="00ED6BCF"/>
    <w:rsid w:val="00ED6E70"/>
    <w:rsid w:val="00ED6FAB"/>
    <w:rsid w:val="00ED730F"/>
    <w:rsid w:val="00ED73F1"/>
    <w:rsid w:val="00ED76EB"/>
    <w:rsid w:val="00ED7739"/>
    <w:rsid w:val="00ED78DA"/>
    <w:rsid w:val="00ED7B82"/>
    <w:rsid w:val="00ED7EDC"/>
    <w:rsid w:val="00EE033D"/>
    <w:rsid w:val="00EE046D"/>
    <w:rsid w:val="00EE05B9"/>
    <w:rsid w:val="00EE0717"/>
    <w:rsid w:val="00EE0B67"/>
    <w:rsid w:val="00EE0C20"/>
    <w:rsid w:val="00EE2252"/>
    <w:rsid w:val="00EE267F"/>
    <w:rsid w:val="00EE2A5A"/>
    <w:rsid w:val="00EE2EE1"/>
    <w:rsid w:val="00EE347D"/>
    <w:rsid w:val="00EE36FC"/>
    <w:rsid w:val="00EE3AC5"/>
    <w:rsid w:val="00EE3CB2"/>
    <w:rsid w:val="00EE4000"/>
    <w:rsid w:val="00EE427A"/>
    <w:rsid w:val="00EE5541"/>
    <w:rsid w:val="00EE58D3"/>
    <w:rsid w:val="00EE67E3"/>
    <w:rsid w:val="00EE68AC"/>
    <w:rsid w:val="00EE690B"/>
    <w:rsid w:val="00EE74F1"/>
    <w:rsid w:val="00EE77D2"/>
    <w:rsid w:val="00EF03B3"/>
    <w:rsid w:val="00EF05CE"/>
    <w:rsid w:val="00EF05F1"/>
    <w:rsid w:val="00EF0C48"/>
    <w:rsid w:val="00EF0D58"/>
    <w:rsid w:val="00EF0F02"/>
    <w:rsid w:val="00EF17E1"/>
    <w:rsid w:val="00EF192C"/>
    <w:rsid w:val="00EF1962"/>
    <w:rsid w:val="00EF19D2"/>
    <w:rsid w:val="00EF1A35"/>
    <w:rsid w:val="00EF1D08"/>
    <w:rsid w:val="00EF3537"/>
    <w:rsid w:val="00EF495A"/>
    <w:rsid w:val="00EF4D94"/>
    <w:rsid w:val="00EF4F17"/>
    <w:rsid w:val="00EF5239"/>
    <w:rsid w:val="00EF5605"/>
    <w:rsid w:val="00EF5910"/>
    <w:rsid w:val="00EF5CD8"/>
    <w:rsid w:val="00EF6132"/>
    <w:rsid w:val="00EF678F"/>
    <w:rsid w:val="00EF6B8B"/>
    <w:rsid w:val="00EF6C34"/>
    <w:rsid w:val="00EF6C5F"/>
    <w:rsid w:val="00EF6E10"/>
    <w:rsid w:val="00EF7057"/>
    <w:rsid w:val="00EF722F"/>
    <w:rsid w:val="00EF7331"/>
    <w:rsid w:val="00EF7FC0"/>
    <w:rsid w:val="00F00686"/>
    <w:rsid w:val="00F006A4"/>
    <w:rsid w:val="00F00F33"/>
    <w:rsid w:val="00F00FE0"/>
    <w:rsid w:val="00F016F9"/>
    <w:rsid w:val="00F01E4D"/>
    <w:rsid w:val="00F02125"/>
    <w:rsid w:val="00F0232A"/>
    <w:rsid w:val="00F03274"/>
    <w:rsid w:val="00F034CE"/>
    <w:rsid w:val="00F037BF"/>
    <w:rsid w:val="00F037EB"/>
    <w:rsid w:val="00F03E2A"/>
    <w:rsid w:val="00F03E3E"/>
    <w:rsid w:val="00F04BB5"/>
    <w:rsid w:val="00F04C60"/>
    <w:rsid w:val="00F04DA6"/>
    <w:rsid w:val="00F051DE"/>
    <w:rsid w:val="00F057C1"/>
    <w:rsid w:val="00F062A2"/>
    <w:rsid w:val="00F06700"/>
    <w:rsid w:val="00F07738"/>
    <w:rsid w:val="00F07BB3"/>
    <w:rsid w:val="00F10265"/>
    <w:rsid w:val="00F107A0"/>
    <w:rsid w:val="00F11DBC"/>
    <w:rsid w:val="00F1274E"/>
    <w:rsid w:val="00F127CC"/>
    <w:rsid w:val="00F12CD5"/>
    <w:rsid w:val="00F1325B"/>
    <w:rsid w:val="00F13779"/>
    <w:rsid w:val="00F13AB4"/>
    <w:rsid w:val="00F14463"/>
    <w:rsid w:val="00F14693"/>
    <w:rsid w:val="00F148F3"/>
    <w:rsid w:val="00F14B26"/>
    <w:rsid w:val="00F14D39"/>
    <w:rsid w:val="00F14FD2"/>
    <w:rsid w:val="00F152AE"/>
    <w:rsid w:val="00F158AD"/>
    <w:rsid w:val="00F15DF7"/>
    <w:rsid w:val="00F15E6F"/>
    <w:rsid w:val="00F15E92"/>
    <w:rsid w:val="00F16258"/>
    <w:rsid w:val="00F16897"/>
    <w:rsid w:val="00F169EC"/>
    <w:rsid w:val="00F16BBE"/>
    <w:rsid w:val="00F16C7A"/>
    <w:rsid w:val="00F16D90"/>
    <w:rsid w:val="00F16E88"/>
    <w:rsid w:val="00F17131"/>
    <w:rsid w:val="00F1762D"/>
    <w:rsid w:val="00F1791F"/>
    <w:rsid w:val="00F17920"/>
    <w:rsid w:val="00F17DB7"/>
    <w:rsid w:val="00F2009F"/>
    <w:rsid w:val="00F205E5"/>
    <w:rsid w:val="00F20E20"/>
    <w:rsid w:val="00F21119"/>
    <w:rsid w:val="00F211C2"/>
    <w:rsid w:val="00F212AD"/>
    <w:rsid w:val="00F21D1C"/>
    <w:rsid w:val="00F2271A"/>
    <w:rsid w:val="00F22F26"/>
    <w:rsid w:val="00F23DC9"/>
    <w:rsid w:val="00F24184"/>
    <w:rsid w:val="00F2447F"/>
    <w:rsid w:val="00F24F18"/>
    <w:rsid w:val="00F2510A"/>
    <w:rsid w:val="00F25959"/>
    <w:rsid w:val="00F25D0A"/>
    <w:rsid w:val="00F25DD4"/>
    <w:rsid w:val="00F25EEC"/>
    <w:rsid w:val="00F26334"/>
    <w:rsid w:val="00F263D1"/>
    <w:rsid w:val="00F265CB"/>
    <w:rsid w:val="00F2671F"/>
    <w:rsid w:val="00F267B2"/>
    <w:rsid w:val="00F26C05"/>
    <w:rsid w:val="00F271A7"/>
    <w:rsid w:val="00F27C4C"/>
    <w:rsid w:val="00F300A4"/>
    <w:rsid w:val="00F306D6"/>
    <w:rsid w:val="00F3072D"/>
    <w:rsid w:val="00F30B10"/>
    <w:rsid w:val="00F30DEC"/>
    <w:rsid w:val="00F30FD2"/>
    <w:rsid w:val="00F31F66"/>
    <w:rsid w:val="00F32012"/>
    <w:rsid w:val="00F324AC"/>
    <w:rsid w:val="00F327C5"/>
    <w:rsid w:val="00F32D6C"/>
    <w:rsid w:val="00F335A1"/>
    <w:rsid w:val="00F33D04"/>
    <w:rsid w:val="00F3402F"/>
    <w:rsid w:val="00F340B9"/>
    <w:rsid w:val="00F348CD"/>
    <w:rsid w:val="00F34A49"/>
    <w:rsid w:val="00F34A7A"/>
    <w:rsid w:val="00F353CF"/>
    <w:rsid w:val="00F3548F"/>
    <w:rsid w:val="00F35875"/>
    <w:rsid w:val="00F35CDA"/>
    <w:rsid w:val="00F36C13"/>
    <w:rsid w:val="00F36C1F"/>
    <w:rsid w:val="00F36CF7"/>
    <w:rsid w:val="00F377CD"/>
    <w:rsid w:val="00F37F0C"/>
    <w:rsid w:val="00F4037E"/>
    <w:rsid w:val="00F409DF"/>
    <w:rsid w:val="00F40DAC"/>
    <w:rsid w:val="00F4113B"/>
    <w:rsid w:val="00F41153"/>
    <w:rsid w:val="00F41375"/>
    <w:rsid w:val="00F419FA"/>
    <w:rsid w:val="00F41A79"/>
    <w:rsid w:val="00F41CA3"/>
    <w:rsid w:val="00F42D1B"/>
    <w:rsid w:val="00F42DC8"/>
    <w:rsid w:val="00F431D9"/>
    <w:rsid w:val="00F4342C"/>
    <w:rsid w:val="00F437B0"/>
    <w:rsid w:val="00F43E8C"/>
    <w:rsid w:val="00F43F0F"/>
    <w:rsid w:val="00F440CE"/>
    <w:rsid w:val="00F449B1"/>
    <w:rsid w:val="00F449EF"/>
    <w:rsid w:val="00F44F39"/>
    <w:rsid w:val="00F44FF7"/>
    <w:rsid w:val="00F459DD"/>
    <w:rsid w:val="00F45A93"/>
    <w:rsid w:val="00F45EA4"/>
    <w:rsid w:val="00F46C6A"/>
    <w:rsid w:val="00F4755D"/>
    <w:rsid w:val="00F47B49"/>
    <w:rsid w:val="00F5045A"/>
    <w:rsid w:val="00F50D2F"/>
    <w:rsid w:val="00F513DC"/>
    <w:rsid w:val="00F51A09"/>
    <w:rsid w:val="00F51B5E"/>
    <w:rsid w:val="00F52419"/>
    <w:rsid w:val="00F529CE"/>
    <w:rsid w:val="00F52BD3"/>
    <w:rsid w:val="00F53E51"/>
    <w:rsid w:val="00F540A0"/>
    <w:rsid w:val="00F54251"/>
    <w:rsid w:val="00F543AF"/>
    <w:rsid w:val="00F5455F"/>
    <w:rsid w:val="00F546C8"/>
    <w:rsid w:val="00F54AA8"/>
    <w:rsid w:val="00F54C5C"/>
    <w:rsid w:val="00F54D25"/>
    <w:rsid w:val="00F55707"/>
    <w:rsid w:val="00F558EB"/>
    <w:rsid w:val="00F55B16"/>
    <w:rsid w:val="00F55F53"/>
    <w:rsid w:val="00F55F67"/>
    <w:rsid w:val="00F56FAF"/>
    <w:rsid w:val="00F57634"/>
    <w:rsid w:val="00F576E5"/>
    <w:rsid w:val="00F57953"/>
    <w:rsid w:val="00F62739"/>
    <w:rsid w:val="00F62A34"/>
    <w:rsid w:val="00F62B46"/>
    <w:rsid w:val="00F62BEA"/>
    <w:rsid w:val="00F62D70"/>
    <w:rsid w:val="00F63371"/>
    <w:rsid w:val="00F635CE"/>
    <w:rsid w:val="00F63873"/>
    <w:rsid w:val="00F6389D"/>
    <w:rsid w:val="00F6425A"/>
    <w:rsid w:val="00F64461"/>
    <w:rsid w:val="00F65618"/>
    <w:rsid w:val="00F659A2"/>
    <w:rsid w:val="00F65FCC"/>
    <w:rsid w:val="00F66969"/>
    <w:rsid w:val="00F66ADF"/>
    <w:rsid w:val="00F66BDF"/>
    <w:rsid w:val="00F66CBF"/>
    <w:rsid w:val="00F66F45"/>
    <w:rsid w:val="00F66F4F"/>
    <w:rsid w:val="00F677F3"/>
    <w:rsid w:val="00F6792E"/>
    <w:rsid w:val="00F7010C"/>
    <w:rsid w:val="00F702E0"/>
    <w:rsid w:val="00F7066A"/>
    <w:rsid w:val="00F707C4"/>
    <w:rsid w:val="00F708CD"/>
    <w:rsid w:val="00F71975"/>
    <w:rsid w:val="00F71EDE"/>
    <w:rsid w:val="00F7209C"/>
    <w:rsid w:val="00F720EC"/>
    <w:rsid w:val="00F7235F"/>
    <w:rsid w:val="00F7279A"/>
    <w:rsid w:val="00F72860"/>
    <w:rsid w:val="00F72A1A"/>
    <w:rsid w:val="00F72B15"/>
    <w:rsid w:val="00F731C0"/>
    <w:rsid w:val="00F73A3E"/>
    <w:rsid w:val="00F74368"/>
    <w:rsid w:val="00F744B2"/>
    <w:rsid w:val="00F7470C"/>
    <w:rsid w:val="00F74910"/>
    <w:rsid w:val="00F74A36"/>
    <w:rsid w:val="00F74BD8"/>
    <w:rsid w:val="00F74D66"/>
    <w:rsid w:val="00F755D7"/>
    <w:rsid w:val="00F756CB"/>
    <w:rsid w:val="00F756F9"/>
    <w:rsid w:val="00F75F91"/>
    <w:rsid w:val="00F7600D"/>
    <w:rsid w:val="00F7603F"/>
    <w:rsid w:val="00F7642A"/>
    <w:rsid w:val="00F76535"/>
    <w:rsid w:val="00F765E9"/>
    <w:rsid w:val="00F7677F"/>
    <w:rsid w:val="00F76951"/>
    <w:rsid w:val="00F7697D"/>
    <w:rsid w:val="00F76B69"/>
    <w:rsid w:val="00F76E3B"/>
    <w:rsid w:val="00F7704F"/>
    <w:rsid w:val="00F7794F"/>
    <w:rsid w:val="00F77B22"/>
    <w:rsid w:val="00F77C0B"/>
    <w:rsid w:val="00F8032A"/>
    <w:rsid w:val="00F80630"/>
    <w:rsid w:val="00F80F42"/>
    <w:rsid w:val="00F8165A"/>
    <w:rsid w:val="00F81AB2"/>
    <w:rsid w:val="00F822F6"/>
    <w:rsid w:val="00F828E8"/>
    <w:rsid w:val="00F8299D"/>
    <w:rsid w:val="00F82CD7"/>
    <w:rsid w:val="00F83530"/>
    <w:rsid w:val="00F83593"/>
    <w:rsid w:val="00F83A0B"/>
    <w:rsid w:val="00F83B79"/>
    <w:rsid w:val="00F83C95"/>
    <w:rsid w:val="00F841E9"/>
    <w:rsid w:val="00F84F0A"/>
    <w:rsid w:val="00F84F5D"/>
    <w:rsid w:val="00F8569D"/>
    <w:rsid w:val="00F861B8"/>
    <w:rsid w:val="00F8636A"/>
    <w:rsid w:val="00F86856"/>
    <w:rsid w:val="00F86A29"/>
    <w:rsid w:val="00F86C8D"/>
    <w:rsid w:val="00F86E7F"/>
    <w:rsid w:val="00F8732E"/>
    <w:rsid w:val="00F873AB"/>
    <w:rsid w:val="00F87549"/>
    <w:rsid w:val="00F87863"/>
    <w:rsid w:val="00F87D09"/>
    <w:rsid w:val="00F87D73"/>
    <w:rsid w:val="00F90056"/>
    <w:rsid w:val="00F902B2"/>
    <w:rsid w:val="00F90434"/>
    <w:rsid w:val="00F906E7"/>
    <w:rsid w:val="00F9071D"/>
    <w:rsid w:val="00F9072D"/>
    <w:rsid w:val="00F9096A"/>
    <w:rsid w:val="00F9117A"/>
    <w:rsid w:val="00F91279"/>
    <w:rsid w:val="00F91653"/>
    <w:rsid w:val="00F91742"/>
    <w:rsid w:val="00F91B4A"/>
    <w:rsid w:val="00F92171"/>
    <w:rsid w:val="00F92F7B"/>
    <w:rsid w:val="00F93571"/>
    <w:rsid w:val="00F936CF"/>
    <w:rsid w:val="00F93E74"/>
    <w:rsid w:val="00F94667"/>
    <w:rsid w:val="00F9466C"/>
    <w:rsid w:val="00F94C21"/>
    <w:rsid w:val="00F9504D"/>
    <w:rsid w:val="00F950A2"/>
    <w:rsid w:val="00F951BF"/>
    <w:rsid w:val="00F95642"/>
    <w:rsid w:val="00F9565D"/>
    <w:rsid w:val="00F956B5"/>
    <w:rsid w:val="00F9591F"/>
    <w:rsid w:val="00F95953"/>
    <w:rsid w:val="00F95F07"/>
    <w:rsid w:val="00F95F67"/>
    <w:rsid w:val="00F966D7"/>
    <w:rsid w:val="00F969A8"/>
    <w:rsid w:val="00F977F8"/>
    <w:rsid w:val="00F97C61"/>
    <w:rsid w:val="00FA01C4"/>
    <w:rsid w:val="00FA0734"/>
    <w:rsid w:val="00FA0CBF"/>
    <w:rsid w:val="00FA13CD"/>
    <w:rsid w:val="00FA172C"/>
    <w:rsid w:val="00FA1858"/>
    <w:rsid w:val="00FA1DA0"/>
    <w:rsid w:val="00FA1E84"/>
    <w:rsid w:val="00FA2168"/>
    <w:rsid w:val="00FA224F"/>
    <w:rsid w:val="00FA2A37"/>
    <w:rsid w:val="00FA2DB4"/>
    <w:rsid w:val="00FA331B"/>
    <w:rsid w:val="00FA35E1"/>
    <w:rsid w:val="00FA415F"/>
    <w:rsid w:val="00FA4225"/>
    <w:rsid w:val="00FA4CB6"/>
    <w:rsid w:val="00FA5865"/>
    <w:rsid w:val="00FA5923"/>
    <w:rsid w:val="00FA59F9"/>
    <w:rsid w:val="00FA6711"/>
    <w:rsid w:val="00FA6FF4"/>
    <w:rsid w:val="00FA7994"/>
    <w:rsid w:val="00FB0244"/>
    <w:rsid w:val="00FB044B"/>
    <w:rsid w:val="00FB0638"/>
    <w:rsid w:val="00FB096D"/>
    <w:rsid w:val="00FB0A9E"/>
    <w:rsid w:val="00FB1439"/>
    <w:rsid w:val="00FB14E7"/>
    <w:rsid w:val="00FB1728"/>
    <w:rsid w:val="00FB196D"/>
    <w:rsid w:val="00FB1D1E"/>
    <w:rsid w:val="00FB1DA1"/>
    <w:rsid w:val="00FB3487"/>
    <w:rsid w:val="00FB386C"/>
    <w:rsid w:val="00FB3995"/>
    <w:rsid w:val="00FB4038"/>
    <w:rsid w:val="00FB413D"/>
    <w:rsid w:val="00FB4B20"/>
    <w:rsid w:val="00FB5ECD"/>
    <w:rsid w:val="00FB614D"/>
    <w:rsid w:val="00FB65E5"/>
    <w:rsid w:val="00FB6A9E"/>
    <w:rsid w:val="00FB6B14"/>
    <w:rsid w:val="00FB6D97"/>
    <w:rsid w:val="00FB70B1"/>
    <w:rsid w:val="00FB7288"/>
    <w:rsid w:val="00FB7A00"/>
    <w:rsid w:val="00FB7AE3"/>
    <w:rsid w:val="00FB7B6E"/>
    <w:rsid w:val="00FB7B88"/>
    <w:rsid w:val="00FB7BF4"/>
    <w:rsid w:val="00FC0BEA"/>
    <w:rsid w:val="00FC12D7"/>
    <w:rsid w:val="00FC13FC"/>
    <w:rsid w:val="00FC18EB"/>
    <w:rsid w:val="00FC193B"/>
    <w:rsid w:val="00FC203B"/>
    <w:rsid w:val="00FC21FF"/>
    <w:rsid w:val="00FC36AA"/>
    <w:rsid w:val="00FC3BE0"/>
    <w:rsid w:val="00FC3F0E"/>
    <w:rsid w:val="00FC4383"/>
    <w:rsid w:val="00FC4648"/>
    <w:rsid w:val="00FC4875"/>
    <w:rsid w:val="00FC53CA"/>
    <w:rsid w:val="00FC5464"/>
    <w:rsid w:val="00FC6656"/>
    <w:rsid w:val="00FC6689"/>
    <w:rsid w:val="00FC67BD"/>
    <w:rsid w:val="00FC6912"/>
    <w:rsid w:val="00FC6CDD"/>
    <w:rsid w:val="00FC6EB8"/>
    <w:rsid w:val="00FC713C"/>
    <w:rsid w:val="00FC7320"/>
    <w:rsid w:val="00FC73B4"/>
    <w:rsid w:val="00FC756E"/>
    <w:rsid w:val="00FC75F5"/>
    <w:rsid w:val="00FC7823"/>
    <w:rsid w:val="00FC79FB"/>
    <w:rsid w:val="00FC7A53"/>
    <w:rsid w:val="00FD07A2"/>
    <w:rsid w:val="00FD0979"/>
    <w:rsid w:val="00FD0B08"/>
    <w:rsid w:val="00FD0FDB"/>
    <w:rsid w:val="00FD1006"/>
    <w:rsid w:val="00FD1318"/>
    <w:rsid w:val="00FD160D"/>
    <w:rsid w:val="00FD1852"/>
    <w:rsid w:val="00FD1887"/>
    <w:rsid w:val="00FD1A92"/>
    <w:rsid w:val="00FD1B80"/>
    <w:rsid w:val="00FD1F35"/>
    <w:rsid w:val="00FD28DE"/>
    <w:rsid w:val="00FD2AF2"/>
    <w:rsid w:val="00FD2D0D"/>
    <w:rsid w:val="00FD2E6E"/>
    <w:rsid w:val="00FD3811"/>
    <w:rsid w:val="00FD4899"/>
    <w:rsid w:val="00FD48BF"/>
    <w:rsid w:val="00FD562C"/>
    <w:rsid w:val="00FD57E0"/>
    <w:rsid w:val="00FD5A97"/>
    <w:rsid w:val="00FD6174"/>
    <w:rsid w:val="00FD644A"/>
    <w:rsid w:val="00FD6458"/>
    <w:rsid w:val="00FD66BD"/>
    <w:rsid w:val="00FD6726"/>
    <w:rsid w:val="00FD6887"/>
    <w:rsid w:val="00FD692D"/>
    <w:rsid w:val="00FD6BB7"/>
    <w:rsid w:val="00FD6C7F"/>
    <w:rsid w:val="00FD6FC5"/>
    <w:rsid w:val="00FD7346"/>
    <w:rsid w:val="00FE01D8"/>
    <w:rsid w:val="00FE0261"/>
    <w:rsid w:val="00FE199A"/>
    <w:rsid w:val="00FE21BE"/>
    <w:rsid w:val="00FE269D"/>
    <w:rsid w:val="00FE2FB6"/>
    <w:rsid w:val="00FE404D"/>
    <w:rsid w:val="00FE495E"/>
    <w:rsid w:val="00FE4B4C"/>
    <w:rsid w:val="00FE4BD7"/>
    <w:rsid w:val="00FE5003"/>
    <w:rsid w:val="00FE5274"/>
    <w:rsid w:val="00FE5312"/>
    <w:rsid w:val="00FE54B9"/>
    <w:rsid w:val="00FE5511"/>
    <w:rsid w:val="00FE5885"/>
    <w:rsid w:val="00FE614F"/>
    <w:rsid w:val="00FE6B1A"/>
    <w:rsid w:val="00FE71CD"/>
    <w:rsid w:val="00FE727B"/>
    <w:rsid w:val="00FE7D0F"/>
    <w:rsid w:val="00FE7FDF"/>
    <w:rsid w:val="00FE7FE3"/>
    <w:rsid w:val="00FF057A"/>
    <w:rsid w:val="00FF065F"/>
    <w:rsid w:val="00FF06BC"/>
    <w:rsid w:val="00FF0767"/>
    <w:rsid w:val="00FF0AA1"/>
    <w:rsid w:val="00FF0C8C"/>
    <w:rsid w:val="00FF0EE6"/>
    <w:rsid w:val="00FF1873"/>
    <w:rsid w:val="00FF1FD3"/>
    <w:rsid w:val="00FF20FC"/>
    <w:rsid w:val="00FF26CD"/>
    <w:rsid w:val="00FF2F88"/>
    <w:rsid w:val="00FF305F"/>
    <w:rsid w:val="00FF348D"/>
    <w:rsid w:val="00FF3899"/>
    <w:rsid w:val="00FF3D3A"/>
    <w:rsid w:val="00FF3EFF"/>
    <w:rsid w:val="00FF494D"/>
    <w:rsid w:val="00FF4AD9"/>
    <w:rsid w:val="00FF4E63"/>
    <w:rsid w:val="00FF4F37"/>
    <w:rsid w:val="00FF4F86"/>
    <w:rsid w:val="00FF5386"/>
    <w:rsid w:val="00FF5409"/>
    <w:rsid w:val="00FF5C24"/>
    <w:rsid w:val="00FF5C4C"/>
    <w:rsid w:val="00FF5CE9"/>
    <w:rsid w:val="00FF6368"/>
    <w:rsid w:val="00FF6C37"/>
    <w:rsid w:val="00FF715E"/>
    <w:rsid w:val="00FF774F"/>
    <w:rsid w:val="00FF7A15"/>
    <w:rsid w:val="00FF7E6D"/>
    <w:rsid w:val="00FF7EB9"/>
    <w:rsid w:val="042A677E"/>
    <w:rsid w:val="061824A6"/>
    <w:rsid w:val="082778AE"/>
    <w:rsid w:val="0C8D278E"/>
    <w:rsid w:val="0D0C50A3"/>
    <w:rsid w:val="0DA811A1"/>
    <w:rsid w:val="10833470"/>
    <w:rsid w:val="13D7E44C"/>
    <w:rsid w:val="1EAFC248"/>
    <w:rsid w:val="1FD762CC"/>
    <w:rsid w:val="233119FB"/>
    <w:rsid w:val="23BE2353"/>
    <w:rsid w:val="24780265"/>
    <w:rsid w:val="2C0C0169"/>
    <w:rsid w:val="2D9A118D"/>
    <w:rsid w:val="2E1F3F36"/>
    <w:rsid w:val="2EBF4AC4"/>
    <w:rsid w:val="30490966"/>
    <w:rsid w:val="33832CC7"/>
    <w:rsid w:val="3EDF5468"/>
    <w:rsid w:val="4212437C"/>
    <w:rsid w:val="43CA2961"/>
    <w:rsid w:val="45381693"/>
    <w:rsid w:val="51E6443A"/>
    <w:rsid w:val="577E3730"/>
    <w:rsid w:val="57806870"/>
    <w:rsid w:val="5E7F18FC"/>
    <w:rsid w:val="5EB35959"/>
    <w:rsid w:val="613A38D3"/>
    <w:rsid w:val="67135B7A"/>
    <w:rsid w:val="6ADFFD25"/>
    <w:rsid w:val="6B77CF90"/>
    <w:rsid w:val="6F890183"/>
    <w:rsid w:val="6FBFA669"/>
    <w:rsid w:val="6FFB286C"/>
    <w:rsid w:val="71126585"/>
    <w:rsid w:val="795958F5"/>
    <w:rsid w:val="79DE28C3"/>
    <w:rsid w:val="7FFD13C2"/>
    <w:rsid w:val="95FED54A"/>
    <w:rsid w:val="AF7D1C67"/>
    <w:rsid w:val="B16B6DB4"/>
    <w:rsid w:val="FFFFE3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99" w:name="Balloon Text"/>
    <w:lsdException w:qFormat="1" w:unhideWhenUsed="0" w:uiPriority="59" w:semiHidden="0" w:name="Table Grid"/>
    <w:lsdException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宋体"/>
      <w:color w:val="000000"/>
      <w:kern w:val="2"/>
      <w:sz w:val="28"/>
      <w:szCs w:val="28"/>
      <w:lang w:val="en-US" w:eastAsia="zh-CN" w:bidi="ar-SA"/>
    </w:rPr>
  </w:style>
  <w:style w:type="paragraph" w:styleId="2">
    <w:name w:val="heading 1"/>
    <w:basedOn w:val="1"/>
    <w:next w:val="1"/>
    <w:link w:val="44"/>
    <w:qFormat/>
    <w:uiPriority w:val="9"/>
    <w:pPr>
      <w:keepNext/>
      <w:keepLines/>
      <w:numPr>
        <w:ilvl w:val="0"/>
        <w:numId w:val="1"/>
      </w:numPr>
      <w:spacing w:after="480"/>
      <w:ind w:firstLine="0" w:firstLineChars="0"/>
      <w:jc w:val="center"/>
      <w:outlineLvl w:val="0"/>
    </w:pPr>
    <w:rPr>
      <w:rFonts w:cs="Times New Roman"/>
      <w:b/>
      <w:bCs/>
      <w:kern w:val="44"/>
      <w:sz w:val="44"/>
      <w:szCs w:val="44"/>
    </w:rPr>
  </w:style>
  <w:style w:type="paragraph" w:styleId="3">
    <w:name w:val="heading 2"/>
    <w:basedOn w:val="1"/>
    <w:next w:val="1"/>
    <w:link w:val="45"/>
    <w:qFormat/>
    <w:uiPriority w:val="9"/>
    <w:pPr>
      <w:keepNext/>
      <w:keepLines/>
      <w:numPr>
        <w:ilvl w:val="1"/>
        <w:numId w:val="1"/>
      </w:numPr>
      <w:ind w:left="0" w:firstLine="200"/>
      <w:jc w:val="left"/>
      <w:outlineLvl w:val="1"/>
    </w:pPr>
    <w:rPr>
      <w:rFonts w:cs="Times New Roman"/>
      <w:b/>
      <w:bCs/>
      <w:sz w:val="32"/>
      <w:szCs w:val="32"/>
    </w:rPr>
  </w:style>
  <w:style w:type="paragraph" w:styleId="4">
    <w:name w:val="heading 3"/>
    <w:basedOn w:val="1"/>
    <w:next w:val="1"/>
    <w:link w:val="46"/>
    <w:qFormat/>
    <w:uiPriority w:val="9"/>
    <w:pPr>
      <w:keepNext/>
      <w:keepLines/>
      <w:numPr>
        <w:ilvl w:val="2"/>
        <w:numId w:val="1"/>
      </w:numPr>
      <w:adjustRightInd w:val="0"/>
      <w:ind w:firstLine="0" w:firstLineChars="0"/>
      <w:jc w:val="left"/>
      <w:outlineLvl w:val="2"/>
    </w:pPr>
    <w:rPr>
      <w:rFonts w:cs="Times New Roman"/>
      <w:b/>
      <w:bCs/>
      <w:kern w:val="0"/>
    </w:rPr>
  </w:style>
  <w:style w:type="paragraph" w:styleId="5">
    <w:name w:val="heading 4"/>
    <w:basedOn w:val="1"/>
    <w:next w:val="1"/>
    <w:link w:val="47"/>
    <w:qFormat/>
    <w:uiPriority w:val="9"/>
    <w:pPr>
      <w:keepNext/>
      <w:keepLines/>
      <w:numPr>
        <w:ilvl w:val="3"/>
        <w:numId w:val="1"/>
      </w:numPr>
      <w:spacing w:before="280" w:after="290" w:line="376" w:lineRule="auto"/>
      <w:ind w:firstLine="0" w:firstLineChars="0"/>
      <w:outlineLvl w:val="3"/>
    </w:pPr>
    <w:rPr>
      <w:rFonts w:ascii="Cambria" w:hAnsi="Cambria" w:cs="Times New Roman"/>
      <w:b/>
      <w:bCs/>
    </w:rPr>
  </w:style>
  <w:style w:type="paragraph" w:styleId="6">
    <w:name w:val="heading 5"/>
    <w:basedOn w:val="1"/>
    <w:next w:val="1"/>
    <w:link w:val="48"/>
    <w:qFormat/>
    <w:uiPriority w:val="0"/>
    <w:pPr>
      <w:keepNext/>
      <w:keepLines/>
      <w:numPr>
        <w:ilvl w:val="4"/>
        <w:numId w:val="1"/>
      </w:numPr>
      <w:spacing w:line="360" w:lineRule="auto"/>
      <w:ind w:firstLine="0" w:firstLineChars="0"/>
      <w:outlineLvl w:val="4"/>
    </w:pPr>
    <w:rPr>
      <w:rFonts w:cs="Times New Roman"/>
      <w:b/>
      <w:bCs/>
    </w:rPr>
  </w:style>
  <w:style w:type="paragraph" w:styleId="7">
    <w:name w:val="heading 6"/>
    <w:basedOn w:val="1"/>
    <w:next w:val="1"/>
    <w:link w:val="49"/>
    <w:qFormat/>
    <w:uiPriority w:val="0"/>
    <w:pPr>
      <w:keepNext/>
      <w:keepLines/>
      <w:numPr>
        <w:ilvl w:val="5"/>
        <w:numId w:val="1"/>
      </w:numPr>
      <w:spacing w:before="240" w:after="64" w:line="320" w:lineRule="auto"/>
      <w:ind w:firstLine="0" w:firstLineChars="0"/>
      <w:outlineLvl w:val="5"/>
    </w:pPr>
    <w:rPr>
      <w:rFonts w:ascii="Arial" w:hAnsi="Arial" w:eastAsia="黑体" w:cs="Times New Roman"/>
      <w:b/>
      <w:bCs/>
      <w:sz w:val="24"/>
      <w:szCs w:val="24"/>
    </w:rPr>
  </w:style>
  <w:style w:type="paragraph" w:styleId="8">
    <w:name w:val="heading 7"/>
    <w:basedOn w:val="1"/>
    <w:next w:val="1"/>
    <w:link w:val="50"/>
    <w:qFormat/>
    <w:uiPriority w:val="0"/>
    <w:pPr>
      <w:keepNext/>
      <w:keepLines/>
      <w:numPr>
        <w:ilvl w:val="6"/>
        <w:numId w:val="1"/>
      </w:numPr>
      <w:spacing w:before="240" w:after="64" w:line="320" w:lineRule="auto"/>
      <w:ind w:firstLine="0" w:firstLineChars="0"/>
      <w:outlineLvl w:val="6"/>
    </w:pPr>
    <w:rPr>
      <w:rFonts w:cs="Times New Roman"/>
      <w:b/>
      <w:bCs/>
      <w:sz w:val="24"/>
      <w:szCs w:val="24"/>
    </w:rPr>
  </w:style>
  <w:style w:type="paragraph" w:styleId="9">
    <w:name w:val="heading 8"/>
    <w:basedOn w:val="1"/>
    <w:next w:val="1"/>
    <w:link w:val="51"/>
    <w:qFormat/>
    <w:uiPriority w:val="0"/>
    <w:pPr>
      <w:keepNext/>
      <w:keepLines/>
      <w:numPr>
        <w:ilvl w:val="7"/>
        <w:numId w:val="1"/>
      </w:numPr>
      <w:spacing w:before="240" w:after="64" w:line="320" w:lineRule="auto"/>
      <w:ind w:firstLine="0" w:firstLineChars="0"/>
      <w:outlineLvl w:val="7"/>
    </w:pPr>
    <w:rPr>
      <w:rFonts w:ascii="Arial" w:hAnsi="Arial" w:eastAsia="黑体" w:cs="Times New Roman"/>
      <w:sz w:val="24"/>
      <w:szCs w:val="24"/>
    </w:rPr>
  </w:style>
  <w:style w:type="paragraph" w:styleId="10">
    <w:name w:val="heading 9"/>
    <w:basedOn w:val="1"/>
    <w:next w:val="1"/>
    <w:link w:val="52"/>
    <w:qFormat/>
    <w:uiPriority w:val="0"/>
    <w:pPr>
      <w:keepNext/>
      <w:keepLines/>
      <w:numPr>
        <w:ilvl w:val="8"/>
        <w:numId w:val="1"/>
      </w:numPr>
      <w:spacing w:before="240" w:after="64" w:line="320" w:lineRule="auto"/>
      <w:ind w:firstLine="0" w:firstLineChars="0"/>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firstLine="0" w:firstLineChars="0"/>
    </w:pPr>
    <w:rPr>
      <w:rFonts w:asciiTheme="minorHAnsi" w:hAnsiTheme="minorHAnsi"/>
      <w:sz w:val="21"/>
    </w:rPr>
  </w:style>
  <w:style w:type="paragraph" w:styleId="12">
    <w:name w:val="Document Map"/>
    <w:basedOn w:val="1"/>
    <w:link w:val="53"/>
    <w:semiHidden/>
    <w:unhideWhenUsed/>
    <w:qFormat/>
    <w:uiPriority w:val="99"/>
    <w:rPr>
      <w:rFonts w:ascii="宋体"/>
      <w:sz w:val="18"/>
      <w:szCs w:val="18"/>
    </w:rPr>
  </w:style>
  <w:style w:type="paragraph" w:styleId="13">
    <w:name w:val="annotation text"/>
    <w:basedOn w:val="1"/>
    <w:link w:val="64"/>
    <w:unhideWhenUsed/>
    <w:qFormat/>
    <w:uiPriority w:val="99"/>
    <w:pPr>
      <w:jc w:val="left"/>
    </w:pPr>
  </w:style>
  <w:style w:type="paragraph" w:styleId="14">
    <w:name w:val="Body Text"/>
    <w:basedOn w:val="1"/>
    <w:link w:val="71"/>
    <w:qFormat/>
    <w:uiPriority w:val="99"/>
    <w:rPr>
      <w:sz w:val="30"/>
    </w:rPr>
  </w:style>
  <w:style w:type="paragraph" w:styleId="15">
    <w:name w:val="toc 5"/>
    <w:basedOn w:val="1"/>
    <w:next w:val="1"/>
    <w:unhideWhenUsed/>
    <w:qFormat/>
    <w:uiPriority w:val="39"/>
    <w:pPr>
      <w:ind w:left="1680" w:leftChars="800" w:firstLine="0" w:firstLineChars="0"/>
    </w:pPr>
    <w:rPr>
      <w:rFonts w:asciiTheme="minorHAnsi" w:hAnsiTheme="minorHAnsi"/>
      <w:sz w:val="21"/>
    </w:rPr>
  </w:style>
  <w:style w:type="paragraph" w:styleId="16">
    <w:name w:val="toc 3"/>
    <w:basedOn w:val="1"/>
    <w:next w:val="1"/>
    <w:unhideWhenUsed/>
    <w:qFormat/>
    <w:uiPriority w:val="39"/>
    <w:pPr>
      <w:tabs>
        <w:tab w:val="left" w:pos="1470"/>
        <w:tab w:val="right" w:leader="dot" w:pos="8296"/>
      </w:tabs>
      <w:spacing w:before="100" w:beforeAutospacing="1" w:after="100" w:afterAutospacing="1"/>
      <w:ind w:left="840" w:leftChars="300" w:firstLine="0" w:firstLineChars="0"/>
    </w:pPr>
    <w:rPr>
      <w:sz w:val="24"/>
    </w:rPr>
  </w:style>
  <w:style w:type="paragraph" w:styleId="17">
    <w:name w:val="Plain Text"/>
    <w:basedOn w:val="1"/>
    <w:link w:val="84"/>
    <w:qFormat/>
    <w:uiPriority w:val="0"/>
    <w:pPr>
      <w:ind w:firstLine="0" w:firstLineChars="0"/>
    </w:pPr>
    <w:rPr>
      <w:rFonts w:ascii="宋体" w:hAnsi="Courier New" w:cs="Courier New"/>
      <w:color w:val="auto"/>
      <w:sz w:val="21"/>
      <w:szCs w:val="21"/>
    </w:rPr>
  </w:style>
  <w:style w:type="paragraph" w:styleId="18">
    <w:name w:val="toc 8"/>
    <w:basedOn w:val="1"/>
    <w:next w:val="1"/>
    <w:unhideWhenUsed/>
    <w:qFormat/>
    <w:uiPriority w:val="39"/>
    <w:pPr>
      <w:ind w:left="2940" w:leftChars="1400" w:firstLine="0" w:firstLineChars="0"/>
    </w:pPr>
    <w:rPr>
      <w:rFonts w:asciiTheme="minorHAnsi" w:hAnsiTheme="minorHAnsi"/>
      <w:sz w:val="21"/>
    </w:rPr>
  </w:style>
  <w:style w:type="paragraph" w:styleId="19">
    <w:name w:val="Date"/>
    <w:basedOn w:val="1"/>
    <w:next w:val="1"/>
    <w:link w:val="69"/>
    <w:semiHidden/>
    <w:unhideWhenUsed/>
    <w:qFormat/>
    <w:uiPriority w:val="99"/>
    <w:pPr>
      <w:ind w:left="100" w:leftChars="2500"/>
    </w:pPr>
  </w:style>
  <w:style w:type="paragraph" w:styleId="20">
    <w:name w:val="endnote text"/>
    <w:basedOn w:val="1"/>
    <w:link w:val="83"/>
    <w:semiHidden/>
    <w:unhideWhenUsed/>
    <w:qFormat/>
    <w:uiPriority w:val="99"/>
    <w:pPr>
      <w:snapToGrid w:val="0"/>
      <w:jc w:val="left"/>
    </w:pPr>
  </w:style>
  <w:style w:type="paragraph" w:styleId="21">
    <w:name w:val="Balloon Text"/>
    <w:basedOn w:val="1"/>
    <w:link w:val="63"/>
    <w:semiHidden/>
    <w:unhideWhenUsed/>
    <w:qFormat/>
    <w:uiPriority w:val="99"/>
    <w:rPr>
      <w:sz w:val="18"/>
      <w:szCs w:val="18"/>
    </w:rPr>
  </w:style>
  <w:style w:type="paragraph" w:styleId="22">
    <w:name w:val="footer"/>
    <w:basedOn w:val="1"/>
    <w:link w:val="55"/>
    <w:unhideWhenUsed/>
    <w:qFormat/>
    <w:uiPriority w:val="99"/>
    <w:pPr>
      <w:tabs>
        <w:tab w:val="center" w:pos="4153"/>
        <w:tab w:val="right" w:pos="8306"/>
      </w:tabs>
      <w:snapToGrid w:val="0"/>
      <w:jc w:val="left"/>
    </w:pPr>
    <w:rPr>
      <w:sz w:val="18"/>
      <w:szCs w:val="18"/>
    </w:rPr>
  </w:style>
  <w:style w:type="paragraph" w:styleId="23">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tabs>
        <w:tab w:val="right" w:leader="dot" w:pos="8296"/>
      </w:tabs>
      <w:adjustRightInd w:val="0"/>
      <w:snapToGrid w:val="0"/>
      <w:spacing w:before="240" w:line="300" w:lineRule="exact"/>
      <w:ind w:firstLine="0" w:firstLineChars="0"/>
      <w:jc w:val="left"/>
    </w:pPr>
    <w:rPr>
      <w:rFonts w:cs="Times New Roman"/>
      <w:b/>
      <w:sz w:val="24"/>
    </w:rPr>
  </w:style>
  <w:style w:type="paragraph" w:styleId="25">
    <w:name w:val="toc 4"/>
    <w:basedOn w:val="1"/>
    <w:next w:val="1"/>
    <w:unhideWhenUsed/>
    <w:qFormat/>
    <w:uiPriority w:val="39"/>
    <w:pPr>
      <w:ind w:left="1260" w:leftChars="600" w:firstLine="0" w:firstLineChars="0"/>
    </w:pPr>
    <w:rPr>
      <w:rFonts w:asciiTheme="minorHAnsi" w:hAnsiTheme="minorHAnsi"/>
      <w:sz w:val="21"/>
    </w:rPr>
  </w:style>
  <w:style w:type="paragraph" w:styleId="26">
    <w:name w:val="Subtitle"/>
    <w:basedOn w:val="1"/>
    <w:next w:val="1"/>
    <w:link w:val="73"/>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7">
    <w:name w:val="toc 6"/>
    <w:basedOn w:val="1"/>
    <w:next w:val="1"/>
    <w:unhideWhenUsed/>
    <w:qFormat/>
    <w:uiPriority w:val="39"/>
    <w:pPr>
      <w:ind w:left="2100" w:leftChars="1000" w:firstLine="0" w:firstLineChars="0"/>
    </w:pPr>
    <w:rPr>
      <w:rFonts w:asciiTheme="minorHAnsi" w:hAnsiTheme="minorHAnsi"/>
      <w:sz w:val="21"/>
    </w:rPr>
  </w:style>
  <w:style w:type="paragraph" w:styleId="28">
    <w:name w:val="toc 2"/>
    <w:basedOn w:val="1"/>
    <w:next w:val="1"/>
    <w:unhideWhenUsed/>
    <w:qFormat/>
    <w:uiPriority w:val="39"/>
    <w:pPr>
      <w:tabs>
        <w:tab w:val="left" w:pos="1050"/>
        <w:tab w:val="right" w:leader="dot" w:pos="8296"/>
      </w:tabs>
      <w:spacing w:before="100" w:beforeAutospacing="1" w:after="100" w:afterAutospacing="1"/>
      <w:ind w:left="560" w:leftChars="200" w:firstLine="0" w:firstLineChars="0"/>
    </w:pPr>
    <w:rPr>
      <w:rFonts w:cs="Times New Roman"/>
      <w:sz w:val="24"/>
    </w:rPr>
  </w:style>
  <w:style w:type="paragraph" w:styleId="29">
    <w:name w:val="toc 9"/>
    <w:basedOn w:val="1"/>
    <w:next w:val="1"/>
    <w:unhideWhenUsed/>
    <w:qFormat/>
    <w:uiPriority w:val="39"/>
    <w:pPr>
      <w:ind w:left="3360" w:leftChars="1600" w:firstLine="0" w:firstLineChars="0"/>
    </w:pPr>
    <w:rPr>
      <w:rFonts w:asciiTheme="minorHAnsi" w:hAnsiTheme="minorHAnsi"/>
      <w:sz w:val="21"/>
    </w:rPr>
  </w:style>
  <w:style w:type="paragraph" w:styleId="30">
    <w:name w:val="HTML Preformatted"/>
    <w:basedOn w:val="1"/>
    <w:link w:val="6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left"/>
    </w:pPr>
    <w:rPr>
      <w:rFonts w:ascii="宋体" w:hAnsi="宋体"/>
      <w:kern w:val="0"/>
      <w:sz w:val="24"/>
      <w:szCs w:val="24"/>
    </w:r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32">
    <w:name w:val="Title"/>
    <w:basedOn w:val="1"/>
    <w:next w:val="1"/>
    <w:link w:val="72"/>
    <w:qFormat/>
    <w:uiPriority w:val="10"/>
    <w:pPr>
      <w:spacing w:before="240" w:after="60"/>
      <w:jc w:val="center"/>
      <w:outlineLvl w:val="0"/>
    </w:pPr>
    <w:rPr>
      <w:rFonts w:asciiTheme="majorHAnsi" w:hAnsiTheme="majorHAnsi" w:eastAsiaTheme="majorEastAsia" w:cstheme="majorBidi"/>
      <w:b/>
      <w:bCs/>
      <w:sz w:val="32"/>
      <w:szCs w:val="32"/>
    </w:rPr>
  </w:style>
  <w:style w:type="paragraph" w:styleId="33">
    <w:name w:val="annotation subject"/>
    <w:basedOn w:val="13"/>
    <w:next w:val="13"/>
    <w:link w:val="65"/>
    <w:semiHidden/>
    <w:unhideWhenUsed/>
    <w:qFormat/>
    <w:uiPriority w:val="99"/>
    <w:rPr>
      <w:b/>
      <w:bCs/>
    </w:rPr>
  </w:style>
  <w:style w:type="table" w:styleId="35">
    <w:name w:val="Table Grid"/>
    <w:basedOn w:val="3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7">
    <w:name w:val="Strong"/>
    <w:basedOn w:val="36"/>
    <w:qFormat/>
    <w:uiPriority w:val="22"/>
    <w:rPr>
      <w:b/>
      <w:bCs/>
    </w:rPr>
  </w:style>
  <w:style w:type="character" w:styleId="38">
    <w:name w:val="endnote reference"/>
    <w:basedOn w:val="36"/>
    <w:semiHidden/>
    <w:unhideWhenUsed/>
    <w:qFormat/>
    <w:uiPriority w:val="99"/>
    <w:rPr>
      <w:vertAlign w:val="superscript"/>
    </w:rPr>
  </w:style>
  <w:style w:type="character" w:styleId="39">
    <w:name w:val="FollowedHyperlink"/>
    <w:basedOn w:val="36"/>
    <w:semiHidden/>
    <w:unhideWhenUsed/>
    <w:qFormat/>
    <w:uiPriority w:val="99"/>
    <w:rPr>
      <w:color w:val="771CAA"/>
      <w:u w:val="none"/>
    </w:rPr>
  </w:style>
  <w:style w:type="character" w:styleId="40">
    <w:name w:val="Emphasis"/>
    <w:basedOn w:val="36"/>
    <w:qFormat/>
    <w:uiPriority w:val="20"/>
    <w:rPr>
      <w:color w:val="F73131"/>
    </w:rPr>
  </w:style>
  <w:style w:type="character" w:styleId="41">
    <w:name w:val="Hyperlink"/>
    <w:unhideWhenUsed/>
    <w:qFormat/>
    <w:uiPriority w:val="99"/>
    <w:rPr>
      <w:color w:val="0000FF"/>
      <w:u w:val="single"/>
    </w:rPr>
  </w:style>
  <w:style w:type="character" w:styleId="42">
    <w:name w:val="annotation reference"/>
    <w:basedOn w:val="36"/>
    <w:semiHidden/>
    <w:unhideWhenUsed/>
    <w:qFormat/>
    <w:uiPriority w:val="99"/>
    <w:rPr>
      <w:sz w:val="21"/>
      <w:szCs w:val="21"/>
    </w:rPr>
  </w:style>
  <w:style w:type="character" w:styleId="43">
    <w:name w:val="HTML Cite"/>
    <w:basedOn w:val="36"/>
    <w:semiHidden/>
    <w:unhideWhenUsed/>
    <w:qFormat/>
    <w:uiPriority w:val="99"/>
    <w:rPr>
      <w:color w:val="008000"/>
    </w:rPr>
  </w:style>
  <w:style w:type="character" w:customStyle="1" w:styleId="44">
    <w:name w:val="标题 1 Char"/>
    <w:basedOn w:val="36"/>
    <w:link w:val="2"/>
    <w:qFormat/>
    <w:uiPriority w:val="9"/>
    <w:rPr>
      <w:rFonts w:ascii="Times New Roman" w:hAnsi="Times New Roman" w:eastAsia="宋体" w:cs="Times New Roman"/>
      <w:b/>
      <w:bCs/>
      <w:color w:val="000000"/>
      <w:kern w:val="44"/>
      <w:sz w:val="44"/>
      <w:szCs w:val="44"/>
    </w:rPr>
  </w:style>
  <w:style w:type="character" w:customStyle="1" w:styleId="45">
    <w:name w:val="标题 2 Char"/>
    <w:basedOn w:val="36"/>
    <w:link w:val="3"/>
    <w:qFormat/>
    <w:uiPriority w:val="9"/>
    <w:rPr>
      <w:b/>
      <w:bCs/>
      <w:color w:val="000000"/>
      <w:kern w:val="2"/>
      <w:sz w:val="32"/>
      <w:szCs w:val="32"/>
    </w:rPr>
  </w:style>
  <w:style w:type="character" w:customStyle="1" w:styleId="46">
    <w:name w:val="标题 3 Char"/>
    <w:basedOn w:val="36"/>
    <w:link w:val="4"/>
    <w:qFormat/>
    <w:uiPriority w:val="9"/>
    <w:rPr>
      <w:b/>
      <w:bCs/>
      <w:color w:val="000000"/>
      <w:sz w:val="28"/>
      <w:szCs w:val="28"/>
    </w:rPr>
  </w:style>
  <w:style w:type="character" w:customStyle="1" w:styleId="47">
    <w:name w:val="标题 4 Char"/>
    <w:basedOn w:val="36"/>
    <w:link w:val="5"/>
    <w:qFormat/>
    <w:uiPriority w:val="9"/>
    <w:rPr>
      <w:rFonts w:ascii="Cambria" w:hAnsi="Cambria" w:eastAsia="宋体" w:cs="Times New Roman"/>
      <w:b/>
      <w:bCs/>
      <w:color w:val="000000"/>
      <w:sz w:val="28"/>
      <w:szCs w:val="28"/>
    </w:rPr>
  </w:style>
  <w:style w:type="character" w:customStyle="1" w:styleId="48">
    <w:name w:val="标题 5 Char"/>
    <w:basedOn w:val="36"/>
    <w:link w:val="6"/>
    <w:qFormat/>
    <w:uiPriority w:val="0"/>
    <w:rPr>
      <w:rFonts w:ascii="Times New Roman" w:hAnsi="Times New Roman" w:eastAsia="宋体" w:cs="Times New Roman"/>
      <w:b/>
      <w:bCs/>
      <w:color w:val="000000"/>
      <w:sz w:val="28"/>
      <w:szCs w:val="28"/>
    </w:rPr>
  </w:style>
  <w:style w:type="character" w:customStyle="1" w:styleId="49">
    <w:name w:val="标题 6 Char"/>
    <w:basedOn w:val="36"/>
    <w:link w:val="7"/>
    <w:qFormat/>
    <w:uiPriority w:val="0"/>
    <w:rPr>
      <w:rFonts w:ascii="Arial" w:hAnsi="Arial" w:eastAsia="黑体" w:cs="Times New Roman"/>
      <w:b/>
      <w:bCs/>
      <w:color w:val="000000"/>
      <w:sz w:val="24"/>
      <w:szCs w:val="24"/>
    </w:rPr>
  </w:style>
  <w:style w:type="character" w:customStyle="1" w:styleId="50">
    <w:name w:val="标题 7 Char"/>
    <w:basedOn w:val="36"/>
    <w:link w:val="8"/>
    <w:qFormat/>
    <w:uiPriority w:val="0"/>
    <w:rPr>
      <w:rFonts w:ascii="Times New Roman" w:hAnsi="Times New Roman" w:eastAsia="宋体" w:cs="Times New Roman"/>
      <w:b/>
      <w:bCs/>
      <w:color w:val="000000"/>
      <w:sz w:val="24"/>
      <w:szCs w:val="24"/>
    </w:rPr>
  </w:style>
  <w:style w:type="character" w:customStyle="1" w:styleId="51">
    <w:name w:val="标题 8 Char"/>
    <w:basedOn w:val="36"/>
    <w:link w:val="9"/>
    <w:qFormat/>
    <w:uiPriority w:val="0"/>
    <w:rPr>
      <w:rFonts w:ascii="Arial" w:hAnsi="Arial" w:eastAsia="黑体" w:cs="Times New Roman"/>
      <w:color w:val="000000"/>
      <w:sz w:val="24"/>
      <w:szCs w:val="24"/>
    </w:rPr>
  </w:style>
  <w:style w:type="character" w:customStyle="1" w:styleId="52">
    <w:name w:val="标题 9 Char"/>
    <w:basedOn w:val="36"/>
    <w:link w:val="10"/>
    <w:qFormat/>
    <w:uiPriority w:val="0"/>
    <w:rPr>
      <w:rFonts w:ascii="Arial" w:hAnsi="Arial" w:eastAsia="黑体" w:cs="Times New Roman"/>
      <w:color w:val="000000"/>
      <w:sz w:val="28"/>
      <w:szCs w:val="21"/>
    </w:rPr>
  </w:style>
  <w:style w:type="character" w:customStyle="1" w:styleId="53">
    <w:name w:val="文档结构图 Char"/>
    <w:basedOn w:val="36"/>
    <w:link w:val="12"/>
    <w:semiHidden/>
    <w:qFormat/>
    <w:uiPriority w:val="99"/>
    <w:rPr>
      <w:rFonts w:ascii="宋体" w:eastAsia="宋体"/>
      <w:sz w:val="18"/>
      <w:szCs w:val="18"/>
    </w:rPr>
  </w:style>
  <w:style w:type="character" w:customStyle="1" w:styleId="54">
    <w:name w:val="页眉 Char"/>
    <w:basedOn w:val="36"/>
    <w:link w:val="23"/>
    <w:qFormat/>
    <w:uiPriority w:val="99"/>
    <w:rPr>
      <w:sz w:val="18"/>
      <w:szCs w:val="18"/>
    </w:rPr>
  </w:style>
  <w:style w:type="character" w:customStyle="1" w:styleId="55">
    <w:name w:val="页脚 Char"/>
    <w:basedOn w:val="36"/>
    <w:link w:val="22"/>
    <w:qFormat/>
    <w:uiPriority w:val="99"/>
    <w:rPr>
      <w:sz w:val="18"/>
      <w:szCs w:val="18"/>
    </w:rPr>
  </w:style>
  <w:style w:type="paragraph" w:customStyle="1" w:styleId="56">
    <w:name w:val="正文2"/>
    <w:basedOn w:val="1"/>
    <w:link w:val="57"/>
    <w:qFormat/>
    <w:uiPriority w:val="0"/>
    <w:pPr>
      <w:spacing w:line="360" w:lineRule="auto"/>
    </w:pPr>
    <w:rPr>
      <w:rFonts w:cs="Times New Roman"/>
      <w:szCs w:val="30"/>
    </w:rPr>
  </w:style>
  <w:style w:type="character" w:customStyle="1" w:styleId="57">
    <w:name w:val="正文2 Char"/>
    <w:link w:val="56"/>
    <w:qFormat/>
    <w:uiPriority w:val="0"/>
    <w:rPr>
      <w:rFonts w:ascii="宋体" w:hAnsi="宋体" w:eastAsia="宋体" w:cs="Times New Roman"/>
      <w:color w:val="000000"/>
      <w:sz w:val="28"/>
      <w:szCs w:val="30"/>
    </w:rPr>
  </w:style>
  <w:style w:type="paragraph" w:customStyle="1" w:styleId="58">
    <w:name w:val="Char Char Char Char1"/>
    <w:basedOn w:val="1"/>
    <w:qFormat/>
    <w:uiPriority w:val="0"/>
    <w:rPr>
      <w:rFonts w:cs="Times New Roman"/>
      <w:szCs w:val="21"/>
    </w:rPr>
  </w:style>
  <w:style w:type="paragraph" w:styleId="59">
    <w:name w:val="No Spacing"/>
    <w:link w:val="67"/>
    <w:qFormat/>
    <w:uiPriority w:val="1"/>
    <w:pPr>
      <w:widowControl w:val="0"/>
      <w:ind w:left="420"/>
      <w:jc w:val="both"/>
    </w:pPr>
    <w:rPr>
      <w:rFonts w:asciiTheme="minorHAnsi" w:hAnsiTheme="minorHAnsi" w:eastAsiaTheme="minorEastAsia" w:cstheme="minorBidi"/>
      <w:kern w:val="2"/>
      <w:sz w:val="21"/>
      <w:szCs w:val="22"/>
      <w:lang w:val="en-US" w:eastAsia="zh-CN" w:bidi="ar-SA"/>
    </w:rPr>
  </w:style>
  <w:style w:type="paragraph" w:customStyle="1" w:styleId="60">
    <w:name w:val="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styleId="61">
    <w:name w:val="List Paragraph"/>
    <w:basedOn w:val="1"/>
    <w:qFormat/>
    <w:uiPriority w:val="34"/>
    <w:pPr>
      <w:ind w:firstLine="420"/>
    </w:pPr>
  </w:style>
  <w:style w:type="character" w:customStyle="1" w:styleId="62">
    <w:name w:val="HTML 预设格式 Char"/>
    <w:basedOn w:val="36"/>
    <w:link w:val="30"/>
    <w:semiHidden/>
    <w:qFormat/>
    <w:uiPriority w:val="99"/>
    <w:rPr>
      <w:rFonts w:ascii="宋体" w:hAnsi="宋体" w:eastAsia="宋体" w:cs="宋体"/>
      <w:kern w:val="0"/>
      <w:sz w:val="24"/>
      <w:szCs w:val="24"/>
    </w:rPr>
  </w:style>
  <w:style w:type="character" w:customStyle="1" w:styleId="63">
    <w:name w:val="批注框文本 Char"/>
    <w:basedOn w:val="36"/>
    <w:link w:val="21"/>
    <w:semiHidden/>
    <w:qFormat/>
    <w:uiPriority w:val="99"/>
    <w:rPr>
      <w:rFonts w:ascii="Times New Roman" w:hAnsi="Times New Roman"/>
      <w:sz w:val="18"/>
      <w:szCs w:val="18"/>
    </w:rPr>
  </w:style>
  <w:style w:type="character" w:customStyle="1" w:styleId="64">
    <w:name w:val="批注文字 Char"/>
    <w:basedOn w:val="36"/>
    <w:link w:val="13"/>
    <w:qFormat/>
    <w:uiPriority w:val="99"/>
    <w:rPr>
      <w:rFonts w:ascii="Times New Roman" w:hAnsi="Times New Roman"/>
      <w:sz w:val="28"/>
    </w:rPr>
  </w:style>
  <w:style w:type="character" w:customStyle="1" w:styleId="65">
    <w:name w:val="批注主题 Char"/>
    <w:basedOn w:val="64"/>
    <w:link w:val="33"/>
    <w:semiHidden/>
    <w:qFormat/>
    <w:uiPriority w:val="99"/>
    <w:rPr>
      <w:rFonts w:ascii="Times New Roman" w:hAnsi="Times New Roman"/>
      <w:b/>
      <w:bCs/>
      <w:sz w:val="28"/>
    </w:rPr>
  </w:style>
  <w:style w:type="paragraph" w:customStyle="1" w:styleId="66">
    <w:name w:val="Char Char Char Char Char Char Char Char Char Char"/>
    <w:basedOn w:val="1"/>
    <w:qFormat/>
    <w:uiPriority w:val="0"/>
    <w:pPr>
      <w:widowControl/>
      <w:spacing w:after="160" w:line="240" w:lineRule="exact"/>
      <w:jc w:val="left"/>
    </w:pPr>
    <w:rPr>
      <w:rFonts w:cs="Times New Roman"/>
      <w:sz w:val="21"/>
      <w:szCs w:val="20"/>
    </w:rPr>
  </w:style>
  <w:style w:type="character" w:customStyle="1" w:styleId="67">
    <w:name w:val="无间隔 Char"/>
    <w:basedOn w:val="36"/>
    <w:link w:val="59"/>
    <w:qFormat/>
    <w:uiPriority w:val="1"/>
  </w:style>
  <w:style w:type="paragraph" w:customStyle="1" w:styleId="68">
    <w:name w:val="修订1"/>
    <w:hidden/>
    <w:semiHidden/>
    <w:qFormat/>
    <w:uiPriority w:val="99"/>
    <w:rPr>
      <w:rFonts w:ascii="Times New Roman" w:hAnsi="Times New Roman" w:eastAsiaTheme="minorEastAsia" w:cstheme="minorBidi"/>
      <w:kern w:val="2"/>
      <w:sz w:val="28"/>
      <w:szCs w:val="22"/>
      <w:lang w:val="en-US" w:eastAsia="zh-CN" w:bidi="ar-SA"/>
    </w:rPr>
  </w:style>
  <w:style w:type="character" w:customStyle="1" w:styleId="69">
    <w:name w:val="日期 Char"/>
    <w:basedOn w:val="36"/>
    <w:link w:val="19"/>
    <w:semiHidden/>
    <w:qFormat/>
    <w:uiPriority w:val="99"/>
    <w:rPr>
      <w:rFonts w:ascii="Times New Roman" w:hAnsi="Times New Roman"/>
      <w:sz w:val="28"/>
    </w:rPr>
  </w:style>
  <w:style w:type="character" w:customStyle="1" w:styleId="70">
    <w:name w:val="不明显强调1"/>
    <w:basedOn w:val="36"/>
    <w:qFormat/>
    <w:uiPriority w:val="19"/>
    <w:rPr>
      <w:i/>
      <w:iCs/>
      <w:color w:val="404040" w:themeColor="text1" w:themeTint="BF"/>
      <w14:textFill>
        <w14:solidFill>
          <w14:schemeClr w14:val="tx1">
            <w14:lumMod w14:val="75000"/>
            <w14:lumOff w14:val="25000"/>
          </w14:schemeClr>
        </w14:solidFill>
      </w14:textFill>
    </w:rPr>
  </w:style>
  <w:style w:type="character" w:customStyle="1" w:styleId="71">
    <w:name w:val="正文文本 Char"/>
    <w:basedOn w:val="36"/>
    <w:link w:val="14"/>
    <w:qFormat/>
    <w:uiPriority w:val="99"/>
    <w:rPr>
      <w:rFonts w:ascii="Times New Roman" w:hAnsi="Times New Roman" w:eastAsia="宋体" w:cs="宋体"/>
      <w:color w:val="000000"/>
      <w:sz w:val="30"/>
      <w:szCs w:val="28"/>
    </w:rPr>
  </w:style>
  <w:style w:type="character" w:customStyle="1" w:styleId="72">
    <w:name w:val="标题 Char"/>
    <w:basedOn w:val="36"/>
    <w:link w:val="32"/>
    <w:qFormat/>
    <w:uiPriority w:val="10"/>
    <w:rPr>
      <w:rFonts w:asciiTheme="majorHAnsi" w:hAnsiTheme="majorHAnsi" w:eastAsiaTheme="majorEastAsia" w:cstheme="majorBidi"/>
      <w:b/>
      <w:bCs/>
      <w:color w:val="000000"/>
      <w:sz w:val="32"/>
      <w:szCs w:val="32"/>
    </w:rPr>
  </w:style>
  <w:style w:type="character" w:customStyle="1" w:styleId="73">
    <w:name w:val="副标题 Char"/>
    <w:basedOn w:val="36"/>
    <w:link w:val="26"/>
    <w:qFormat/>
    <w:uiPriority w:val="11"/>
    <w:rPr>
      <w:b/>
      <w:bCs/>
      <w:color w:val="000000"/>
      <w:kern w:val="28"/>
      <w:sz w:val="32"/>
      <w:szCs w:val="32"/>
    </w:rPr>
  </w:style>
  <w:style w:type="paragraph" w:customStyle="1" w:styleId="74">
    <w:name w:val="图题表题"/>
    <w:qFormat/>
    <w:uiPriority w:val="0"/>
    <w:pPr>
      <w:adjustRightInd w:val="0"/>
      <w:snapToGrid w:val="0"/>
      <w:spacing w:line="360" w:lineRule="auto"/>
      <w:jc w:val="center"/>
    </w:pPr>
    <w:rPr>
      <w:rFonts w:ascii="Times" w:hAnsi="Times" w:eastAsia="黑体" w:cstheme="minorBidi"/>
      <w:b/>
      <w:kern w:val="2"/>
      <w:sz w:val="21"/>
      <w:szCs w:val="22"/>
      <w:lang w:val="en-US" w:eastAsia="zh-CN" w:bidi="ar-SA"/>
    </w:rPr>
  </w:style>
  <w:style w:type="paragraph" w:customStyle="1" w:styleId="75">
    <w:name w:val="表格文字"/>
    <w:qFormat/>
    <w:uiPriority w:val="0"/>
    <w:pPr>
      <w:adjustRightInd w:val="0"/>
      <w:snapToGrid w:val="0"/>
      <w:jc w:val="center"/>
    </w:pPr>
    <w:rPr>
      <w:rFonts w:ascii="Times" w:hAnsi="Times" w:eastAsia="宋体" w:cstheme="minorBidi"/>
      <w:kern w:val="2"/>
      <w:sz w:val="21"/>
      <w:szCs w:val="22"/>
      <w:lang w:val="en-US" w:eastAsia="zh-CN" w:bidi="ar-SA"/>
    </w:rPr>
  </w:style>
  <w:style w:type="paragraph" w:customStyle="1" w:styleId="76">
    <w:name w:val="正文（三号，仿宋，30磅）"/>
    <w:basedOn w:val="1"/>
    <w:link w:val="77"/>
    <w:qFormat/>
    <w:uiPriority w:val="0"/>
    <w:pPr>
      <w:spacing w:line="600" w:lineRule="exact"/>
      <w:ind w:firstLine="640"/>
    </w:pPr>
    <w:rPr>
      <w:rFonts w:eastAsia="仿宋_GB2312" w:cs="Times New Roman"/>
      <w:color w:val="auto"/>
      <w:sz w:val="32"/>
      <w:szCs w:val="32"/>
    </w:rPr>
  </w:style>
  <w:style w:type="character" w:customStyle="1" w:styleId="77">
    <w:name w:val="正文（三号，仿宋，30磅） 字符"/>
    <w:link w:val="76"/>
    <w:qFormat/>
    <w:uiPriority w:val="0"/>
    <w:rPr>
      <w:rFonts w:ascii="Times New Roman" w:hAnsi="Times New Roman" w:eastAsia="仿宋_GB2312" w:cs="Times New Roman"/>
      <w:sz w:val="32"/>
      <w:szCs w:val="32"/>
    </w:rPr>
  </w:style>
  <w:style w:type="paragraph" w:customStyle="1" w:styleId="78">
    <w:name w:val="二级标题（楷体，三号，加粗）"/>
    <w:basedOn w:val="1"/>
    <w:link w:val="79"/>
    <w:qFormat/>
    <w:uiPriority w:val="0"/>
    <w:pPr>
      <w:spacing w:line="600" w:lineRule="exact"/>
      <w:ind w:firstLine="643"/>
      <w:outlineLvl w:val="1"/>
    </w:pPr>
    <w:rPr>
      <w:rFonts w:eastAsia="楷体_GB2312" w:cs="Times New Roman"/>
      <w:b/>
      <w:bCs/>
      <w:color w:val="auto"/>
      <w:sz w:val="32"/>
      <w:szCs w:val="32"/>
    </w:rPr>
  </w:style>
  <w:style w:type="character" w:customStyle="1" w:styleId="79">
    <w:name w:val="二级标题（楷体，三号，加粗） 字符"/>
    <w:link w:val="78"/>
    <w:qFormat/>
    <w:uiPriority w:val="0"/>
    <w:rPr>
      <w:rFonts w:ascii="Times New Roman" w:hAnsi="Times New Roman" w:eastAsia="楷体_GB2312" w:cs="Times New Roman"/>
      <w:b/>
      <w:bCs/>
      <w:sz w:val="32"/>
      <w:szCs w:val="32"/>
    </w:rPr>
  </w:style>
  <w:style w:type="paragraph" w:customStyle="1" w:styleId="80">
    <w:name w:val="标题3"/>
    <w:basedOn w:val="4"/>
    <w:next w:val="1"/>
    <w:qFormat/>
    <w:uiPriority w:val="0"/>
    <w:pPr>
      <w:widowControl/>
      <w:numPr>
        <w:ilvl w:val="0"/>
        <w:numId w:val="0"/>
      </w:numPr>
      <w:snapToGrid w:val="0"/>
      <w:spacing w:beforeLines="50" w:afterLines="50"/>
      <w:ind w:firstLine="200" w:firstLineChars="200"/>
      <w:jc w:val="both"/>
    </w:pPr>
    <w:rPr>
      <w:color w:val="auto"/>
      <w:szCs w:val="32"/>
    </w:rPr>
  </w:style>
  <w:style w:type="character" w:customStyle="1" w:styleId="81">
    <w:name w:val="正文格式 字符"/>
    <w:basedOn w:val="36"/>
    <w:link w:val="82"/>
    <w:qFormat/>
    <w:locked/>
    <w:uiPriority w:val="0"/>
    <w:rPr>
      <w:rFonts w:ascii="Times New Roman" w:hAnsi="Times New Roman" w:eastAsia="仿宋_GB2312" w:cs="Times New Roman"/>
      <w:sz w:val="30"/>
      <w:szCs w:val="30"/>
    </w:rPr>
  </w:style>
  <w:style w:type="paragraph" w:customStyle="1" w:styleId="82">
    <w:name w:val="正文格式"/>
    <w:basedOn w:val="1"/>
    <w:link w:val="81"/>
    <w:qFormat/>
    <w:uiPriority w:val="0"/>
    <w:pPr>
      <w:spacing w:line="360" w:lineRule="auto"/>
      <w:ind w:firstLine="600"/>
    </w:pPr>
    <w:rPr>
      <w:rFonts w:eastAsia="仿宋_GB2312" w:cs="Times New Roman"/>
      <w:color w:val="auto"/>
      <w:sz w:val="30"/>
      <w:szCs w:val="30"/>
    </w:rPr>
  </w:style>
  <w:style w:type="character" w:customStyle="1" w:styleId="83">
    <w:name w:val="尾注文本 Char"/>
    <w:basedOn w:val="36"/>
    <w:link w:val="20"/>
    <w:semiHidden/>
    <w:qFormat/>
    <w:uiPriority w:val="99"/>
    <w:rPr>
      <w:rFonts w:ascii="Times New Roman" w:hAnsi="Times New Roman" w:eastAsia="宋体" w:cs="宋体"/>
      <w:color w:val="000000"/>
      <w:sz w:val="28"/>
      <w:szCs w:val="28"/>
    </w:rPr>
  </w:style>
  <w:style w:type="character" w:customStyle="1" w:styleId="84">
    <w:name w:val="纯文本 Char"/>
    <w:basedOn w:val="36"/>
    <w:link w:val="17"/>
    <w:qFormat/>
    <w:uiPriority w:val="0"/>
    <w:rPr>
      <w:rFonts w:ascii="宋体" w:hAnsi="Courier New" w:eastAsia="宋体" w:cs="Courier New"/>
      <w:szCs w:val="21"/>
    </w:rPr>
  </w:style>
  <w:style w:type="character" w:customStyle="1" w:styleId="85">
    <w:name w:val="c-icon"/>
    <w:basedOn w:val="36"/>
    <w:qFormat/>
    <w:uiPriority w:val="0"/>
  </w:style>
  <w:style w:type="character" w:customStyle="1" w:styleId="86">
    <w:name w:val="hover28"/>
    <w:basedOn w:val="36"/>
    <w:qFormat/>
    <w:uiPriority w:val="0"/>
  </w:style>
  <w:style w:type="character" w:customStyle="1" w:styleId="87">
    <w:name w:val="hover29"/>
    <w:basedOn w:val="36"/>
    <w:qFormat/>
    <w:uiPriority w:val="0"/>
    <w:rPr>
      <w:color w:val="315EFB"/>
    </w:rPr>
  </w:style>
  <w:style w:type="character" w:customStyle="1" w:styleId="88">
    <w:name w:val="bjh-p"/>
    <w:basedOn w:val="36"/>
    <w:qFormat/>
    <w:uiPriority w:val="0"/>
  </w:style>
  <w:style w:type="character" w:customStyle="1" w:styleId="89">
    <w:name w:val="bjh-strong"/>
    <w:basedOn w:val="3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hsnmj\C:\Users\wwskl\Documents\&#33258;&#23450;&#20041;%20Office%20&#27169;&#26495;\&#27178;&#2152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横向模板</Template>
  <Company>微软中国</Company>
  <Pages>80</Pages>
  <Words>6659</Words>
  <Characters>37961</Characters>
  <Lines>316</Lines>
  <Paragraphs>89</Paragraphs>
  <TotalTime>21</TotalTime>
  <ScaleCrop>false</ScaleCrop>
  <LinksUpToDate>false</LinksUpToDate>
  <CharactersWithSpaces>44531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2021-08-20T09:41:00Z</dcterms:created>
  <dc:creator>周海宾</dc:creator>
  <cp:lastModifiedBy>WPS_247158797</cp:lastModifiedBy>
  <cp:lastPrinted>2021-08-19T13:37:00Z</cp:lastPrinted>
  <dcterms:modified xsi:type="dcterms:W3CDTF">2021-10-29T11:17:11Z</dcterms:modified>
  <dc:title>平山县农业可持续发展规划（2015~2030年）</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B9AA2CD1A57543439D452B61FDBBFCC4</vt:lpwstr>
  </property>
</Properties>
</file>