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336" w:lineRule="auto"/>
        <w:rPr>
          <w:rFonts w:ascii="黑体" w:eastAsia="黑体"/>
          <w:kern w:val="0"/>
          <w:szCs w:val="32"/>
        </w:rPr>
      </w:pPr>
    </w:p>
    <w:p>
      <w:pPr>
        <w:overflowPunct w:val="0"/>
        <w:adjustRightInd w:val="0"/>
        <w:snapToGrid w:val="0"/>
        <w:spacing w:line="336" w:lineRule="auto"/>
        <w:rPr>
          <w:rFonts w:ascii="黑体" w:eastAsia="黑体"/>
          <w:kern w:val="0"/>
          <w:szCs w:val="32"/>
        </w:rPr>
      </w:pPr>
    </w:p>
    <w:p>
      <w:pPr>
        <w:overflowPunct w:val="0"/>
        <w:adjustRightInd w:val="0"/>
        <w:snapToGrid w:val="0"/>
        <w:spacing w:line="336" w:lineRule="auto"/>
        <w:rPr>
          <w:rFonts w:ascii="黑体" w:eastAsia="黑体"/>
          <w:kern w:val="0"/>
          <w:szCs w:val="32"/>
        </w:rPr>
      </w:pPr>
    </w:p>
    <w:p>
      <w:pPr>
        <w:overflowPunct w:val="0"/>
        <w:adjustRightInd w:val="0"/>
        <w:snapToGrid w:val="0"/>
        <w:spacing w:line="100" w:lineRule="exact"/>
        <w:rPr>
          <w:rFonts w:ascii="黑体" w:eastAsia="黑体"/>
          <w:kern w:val="0"/>
          <w:szCs w:val="32"/>
        </w:rPr>
      </w:pPr>
    </w:p>
    <w:p>
      <w:pPr>
        <w:overflowPunct w:val="0"/>
        <w:adjustRightInd w:val="0"/>
        <w:snapToGrid w:val="0"/>
        <w:ind w:left="-57"/>
        <w:jc w:val="center"/>
        <w:rPr>
          <w:rFonts w:ascii="方正小标宋简体" w:hAnsi="宋体" w:eastAsia="方正小标宋简体"/>
          <w:color w:val="FF0000"/>
          <w:kern w:val="0"/>
          <w:sz w:val="72"/>
          <w:szCs w:val="72"/>
        </w:rPr>
      </w:pPr>
      <w:r>
        <w:rPr>
          <w:rFonts w:hint="eastAsia" w:ascii="方正小标宋简体" w:hAnsi="宋体" w:eastAsia="方正小标宋简体"/>
          <w:color w:val="FF0000"/>
          <w:kern w:val="0"/>
          <w:sz w:val="72"/>
          <w:szCs w:val="72"/>
        </w:rPr>
        <w:t>上海市市场监督管理局文件</w:t>
      </w:r>
    </w:p>
    <w:p>
      <w:pPr>
        <w:tabs>
          <w:tab w:val="left" w:pos="790"/>
        </w:tabs>
        <w:overflowPunct w:val="0"/>
        <w:adjustRightInd w:val="0"/>
        <w:snapToGrid w:val="0"/>
        <w:spacing w:line="252" w:lineRule="auto"/>
        <w:jc w:val="center"/>
        <w:rPr>
          <w:rFonts w:ascii="黑体" w:eastAsia="黑体"/>
          <w:kern w:val="0"/>
          <w:szCs w:val="32"/>
        </w:rPr>
      </w:pPr>
    </w:p>
    <w:p>
      <w:pPr>
        <w:tabs>
          <w:tab w:val="left" w:pos="790"/>
        </w:tabs>
        <w:overflowPunct w:val="0"/>
        <w:adjustRightInd w:val="0"/>
        <w:snapToGrid w:val="0"/>
        <w:spacing w:line="252" w:lineRule="auto"/>
        <w:jc w:val="center"/>
        <w:rPr>
          <w:rFonts w:ascii="黑体" w:eastAsia="黑体"/>
          <w:kern w:val="0"/>
          <w:szCs w:val="32"/>
        </w:rPr>
      </w:pPr>
    </w:p>
    <w:p>
      <w:pPr>
        <w:tabs>
          <w:tab w:val="left" w:pos="790"/>
        </w:tabs>
        <w:overflowPunct w:val="0"/>
        <w:adjustRightInd w:val="0"/>
        <w:snapToGrid w:val="0"/>
        <w:spacing w:line="336" w:lineRule="auto"/>
        <w:jc w:val="center"/>
        <w:rPr>
          <w:kern w:val="0"/>
          <w:szCs w:val="32"/>
        </w:rPr>
      </w:pPr>
      <w:r>
        <w:rPr>
          <w:kern w:val="0"/>
          <w:szCs w:val="30"/>
        </w:rPr>
        <w:pict>
          <v:line id="_x0000_s1026" o:spid="_x0000_s1026" o:spt="20" style="position:absolute;left:0pt;margin-left:0.05pt;margin-top:30.4pt;height:0pt;width:442.2pt;z-index:251661312;mso-width-relative:page;mso-height-relative:page;" stroked="t" coordsize="21600,21600">
            <v:path arrowok="t"/>
            <v:fill focussize="0,0"/>
            <v:stroke weight="1.5pt" color="#FF0000"/>
            <v:imagedata o:title=""/>
            <o:lock v:ext="edit"/>
            <w10:anchorlock/>
          </v:line>
        </w:pict>
      </w:r>
      <w:r>
        <w:rPr>
          <w:rFonts w:hint="eastAsia"/>
          <w:kern w:val="0"/>
          <w:szCs w:val="32"/>
        </w:rPr>
        <w:t>沪市监特食〔2021〕474号</w:t>
      </w:r>
    </w:p>
    <w:p>
      <w:pPr>
        <w:tabs>
          <w:tab w:val="left" w:pos="790"/>
        </w:tabs>
        <w:overflowPunct w:val="0"/>
        <w:adjustRightInd w:val="0"/>
        <w:snapToGrid w:val="0"/>
        <w:spacing w:line="336" w:lineRule="auto"/>
        <w:jc w:val="center"/>
        <w:rPr>
          <w:kern w:val="0"/>
          <w:szCs w:val="30"/>
        </w:rPr>
      </w:pPr>
    </w:p>
    <w:p>
      <w:pPr>
        <w:tabs>
          <w:tab w:val="left" w:pos="790"/>
        </w:tabs>
        <w:overflowPunct w:val="0"/>
        <w:adjustRightInd w:val="0"/>
        <w:snapToGrid w:val="0"/>
        <w:spacing w:line="336" w:lineRule="auto"/>
        <w:jc w:val="center"/>
        <w:rPr>
          <w:kern w:val="0"/>
          <w:szCs w:val="30"/>
        </w:rPr>
      </w:pPr>
    </w:p>
    <w:p>
      <w:pPr>
        <w:tabs>
          <w:tab w:val="left" w:pos="790"/>
        </w:tabs>
        <w:overflowPunct w:val="0"/>
        <w:adjustRightInd w:val="0"/>
        <w:snapToGrid w:val="0"/>
        <w:spacing w:line="221" w:lineRule="auto"/>
        <w:jc w:val="center"/>
        <w:rPr>
          <w:rFonts w:ascii="方正小标宋简体" w:hAnsi="宋体" w:eastAsia="方正小标宋简体"/>
          <w:kern w:val="0"/>
          <w:sz w:val="44"/>
          <w:szCs w:val="44"/>
        </w:rPr>
      </w:pPr>
      <w:bookmarkStart w:id="0" w:name="_GoBack"/>
      <w:r>
        <w:rPr>
          <w:rFonts w:hint="eastAsia" w:ascii="方正小标宋简体" w:hAnsi="宋体" w:eastAsia="方正小标宋简体"/>
          <w:kern w:val="0"/>
          <w:sz w:val="44"/>
          <w:szCs w:val="44"/>
        </w:rPr>
        <w:t>上海市市场监督管理局关于印发</w:t>
      </w:r>
    </w:p>
    <w:p>
      <w:pPr>
        <w:tabs>
          <w:tab w:val="left" w:pos="790"/>
        </w:tabs>
        <w:overflowPunct w:val="0"/>
        <w:adjustRightInd w:val="0"/>
        <w:snapToGrid w:val="0"/>
        <w:spacing w:line="221" w:lineRule="auto"/>
        <w:ind w:right="170"/>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《上海市婴幼儿配方乳粉和特殊医学用途</w:t>
      </w:r>
    </w:p>
    <w:p>
      <w:pPr>
        <w:tabs>
          <w:tab w:val="left" w:pos="790"/>
        </w:tabs>
        <w:overflowPunct w:val="0"/>
        <w:adjustRightInd w:val="0"/>
        <w:snapToGrid w:val="0"/>
        <w:spacing w:line="221" w:lineRule="auto"/>
        <w:ind w:left="170"/>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配方食品销售安全监督检查指南（试行）》</w:t>
      </w:r>
    </w:p>
    <w:p>
      <w:pPr>
        <w:tabs>
          <w:tab w:val="left" w:pos="790"/>
        </w:tabs>
        <w:overflowPunct w:val="0"/>
        <w:adjustRightInd w:val="0"/>
        <w:snapToGrid w:val="0"/>
        <w:spacing w:line="221" w:lineRule="auto"/>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和《上海市婴幼儿配方乳粉和特殊医学用途</w:t>
      </w:r>
    </w:p>
    <w:p>
      <w:pPr>
        <w:tabs>
          <w:tab w:val="left" w:pos="790"/>
        </w:tabs>
        <w:overflowPunct w:val="0"/>
        <w:adjustRightInd w:val="0"/>
        <w:snapToGrid w:val="0"/>
        <w:spacing w:line="221" w:lineRule="auto"/>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配方食品销售检查要点表（试行）》的通知</w:t>
      </w:r>
      <w:bookmarkEnd w:id="0"/>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rPr>
          <w:rFonts w:hAnsi="宋体"/>
          <w:kern w:val="0"/>
          <w:szCs w:val="30"/>
        </w:rPr>
      </w:pPr>
      <w:r>
        <w:rPr>
          <w:rFonts w:hint="eastAsia" w:hAnsi="宋体"/>
          <w:kern w:val="0"/>
          <w:szCs w:val="30"/>
        </w:rPr>
        <w:t>各区市场监管局，临港新片区市场监管局，市局机场分局、执法总队，有关单位：</w:t>
      </w:r>
    </w:p>
    <w:p>
      <w:pPr>
        <w:tabs>
          <w:tab w:val="left" w:pos="790"/>
          <w:tab w:val="left" w:pos="1264"/>
        </w:tabs>
        <w:overflowPunct w:val="0"/>
        <w:adjustRightInd w:val="0"/>
        <w:snapToGrid w:val="0"/>
        <w:spacing w:line="336" w:lineRule="auto"/>
        <w:ind w:firstLine="624"/>
        <w:rPr>
          <w:rFonts w:hAnsi="宋体"/>
          <w:kern w:val="0"/>
          <w:szCs w:val="30"/>
        </w:rPr>
      </w:pPr>
      <w:r>
        <w:rPr>
          <w:rFonts w:hint="eastAsia" w:hAnsi="宋体"/>
          <w:kern w:val="0"/>
          <w:szCs w:val="30"/>
        </w:rPr>
        <w:t>为贯彻落实《中共中央　国务院关于深化改革加强食品安全工作的意见》和上海实施方案精神，进一步加强婴幼儿配方乳粉和特殊医学用途配方食品销售环节监管，依据《中华人民共和国食品安全法》及其实施条例有关规定，以及市场监管总局关于特殊食品经营监管的相关要求，市市场监管局制定了《上海市婴幼儿配方乳粉和特殊医学用途配方食品销售安全监督检查指南（试行）》和《上海市婴幼儿配方乳粉和特殊医学用途配方食品销售检查要点表（试行）》，现印发给你们，请各区市场监管局、临港新片区市场监管局、市局机场分局遵照执行，加强特殊食品经营单位日常监督检查。</w:t>
      </w:r>
    </w:p>
    <w:p>
      <w:pPr>
        <w:tabs>
          <w:tab w:val="left" w:pos="790"/>
          <w:tab w:val="left" w:pos="1264"/>
        </w:tabs>
        <w:overflowPunct w:val="0"/>
        <w:adjustRightInd w:val="0"/>
        <w:snapToGrid w:val="0"/>
        <w:spacing w:line="336" w:lineRule="auto"/>
        <w:ind w:firstLine="624"/>
        <w:rPr>
          <w:rFonts w:hAnsi="宋体"/>
          <w:kern w:val="0"/>
          <w:szCs w:val="30"/>
        </w:rPr>
      </w:pPr>
      <w:r>
        <w:rPr>
          <w:rFonts w:hint="eastAsia" w:hAnsi="宋体"/>
          <w:kern w:val="0"/>
          <w:szCs w:val="30"/>
        </w:rPr>
        <w:t>特此通知。</w:t>
      </w: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288" w:lineRule="auto"/>
        <w:ind w:firstLine="624"/>
        <w:rPr>
          <w:rFonts w:hAnsi="宋体"/>
          <w:kern w:val="0"/>
          <w:szCs w:val="30"/>
        </w:rPr>
      </w:pPr>
    </w:p>
    <w:p>
      <w:pPr>
        <w:tabs>
          <w:tab w:val="left" w:pos="790"/>
          <w:tab w:val="left" w:pos="1264"/>
        </w:tabs>
        <w:overflowPunct w:val="0"/>
        <w:adjustRightInd w:val="0"/>
        <w:snapToGrid w:val="0"/>
        <w:spacing w:line="288" w:lineRule="auto"/>
        <w:ind w:firstLine="624"/>
        <w:rPr>
          <w:rFonts w:hAnsi="宋体"/>
          <w:kern w:val="0"/>
          <w:szCs w:val="30"/>
        </w:rPr>
      </w:pPr>
    </w:p>
    <w:p>
      <w:pPr>
        <w:tabs>
          <w:tab w:val="left" w:pos="790"/>
          <w:tab w:val="left" w:pos="1264"/>
        </w:tabs>
        <w:overflowPunct w:val="0"/>
        <w:adjustRightInd w:val="0"/>
        <w:snapToGrid w:val="0"/>
        <w:spacing w:line="336" w:lineRule="auto"/>
        <w:ind w:right="941" w:firstLine="624"/>
        <w:jc w:val="right"/>
        <w:rPr>
          <w:rFonts w:hAnsi="宋体"/>
          <w:kern w:val="0"/>
          <w:szCs w:val="30"/>
        </w:rPr>
      </w:pPr>
      <w:r>
        <w:rPr>
          <w:rFonts w:hint="eastAsia" w:hAnsi="宋体"/>
          <w:kern w:val="0"/>
          <w:szCs w:val="30"/>
        </w:rPr>
        <w:t>上海市市场监督管理局</w:t>
      </w:r>
    </w:p>
    <w:p>
      <w:pPr>
        <w:tabs>
          <w:tab w:val="left" w:pos="790"/>
          <w:tab w:val="left" w:pos="1264"/>
        </w:tabs>
        <w:overflowPunct w:val="0"/>
        <w:adjustRightInd w:val="0"/>
        <w:snapToGrid w:val="0"/>
        <w:spacing w:line="336" w:lineRule="auto"/>
        <w:ind w:right="1247" w:firstLine="624"/>
        <w:jc w:val="right"/>
        <w:rPr>
          <w:rFonts w:hAnsi="宋体"/>
          <w:kern w:val="0"/>
          <w:szCs w:val="30"/>
        </w:rPr>
      </w:pPr>
      <w:r>
        <w:rPr>
          <w:rFonts w:hint="eastAsia" w:hAnsi="宋体"/>
          <w:kern w:val="0"/>
          <w:szCs w:val="30"/>
        </w:rPr>
        <w:t>2021年9月14日</w:t>
      </w:r>
    </w:p>
    <w:p>
      <w:pPr>
        <w:tabs>
          <w:tab w:val="left" w:pos="790"/>
          <w:tab w:val="left" w:pos="1264"/>
        </w:tabs>
        <w:overflowPunct w:val="0"/>
        <w:adjustRightInd w:val="0"/>
        <w:snapToGrid w:val="0"/>
        <w:spacing w:line="336" w:lineRule="auto"/>
        <w:ind w:firstLine="624"/>
        <w:rPr>
          <w:rFonts w:hAnsi="宋体"/>
          <w:kern w:val="0"/>
          <w:szCs w:val="30"/>
        </w:rPr>
      </w:pPr>
      <w:r>
        <w:rPr>
          <w:rFonts w:hint="eastAsia" w:hAnsi="宋体"/>
          <w:kern w:val="0"/>
          <w:szCs w:val="30"/>
        </w:rPr>
        <w:t>（此件公开发布）</w:t>
      </w:r>
    </w:p>
    <w:p>
      <w:pPr>
        <w:tabs>
          <w:tab w:val="left" w:pos="790"/>
          <w:tab w:val="left" w:pos="1264"/>
        </w:tabs>
        <w:overflowPunct w:val="0"/>
        <w:adjustRightInd w:val="0"/>
        <w:snapToGrid w:val="0"/>
        <w:spacing w:line="336" w:lineRule="auto"/>
        <w:ind w:firstLine="624"/>
        <w:rPr>
          <w:rFonts w:hAnsi="宋体"/>
          <w:kern w:val="0"/>
          <w:szCs w:val="30"/>
        </w:rPr>
      </w:pPr>
    </w:p>
    <w:p>
      <w:pPr>
        <w:jc w:val="left"/>
        <w:rPr>
          <w:rFonts w:ascii="黑体" w:hAnsi="黑体" w:eastAsia="黑体" w:cs="仿宋_GB2312"/>
          <w:kern w:val="0"/>
          <w:szCs w:val="32"/>
        </w:rPr>
        <w:sectPr>
          <w:headerReference r:id="rId3" w:type="default"/>
          <w:footerReference r:id="rId5" w:type="default"/>
          <w:headerReference r:id="rId4" w:type="even"/>
          <w:footerReference r:id="rId6" w:type="even"/>
          <w:pgSz w:w="11906" w:h="16838"/>
          <w:pgMar w:top="2098" w:right="1474" w:bottom="1985" w:left="1588" w:header="851" w:footer="1418" w:gutter="0"/>
          <w:cols w:space="425" w:num="1"/>
          <w:docGrid w:type="linesAndChars" w:linePitch="579" w:charSpace="-849"/>
        </w:sectPr>
      </w:pPr>
    </w:p>
    <w:p>
      <w:pPr>
        <w:tabs>
          <w:tab w:val="left" w:pos="790"/>
        </w:tabs>
        <w:overflowPunct w:val="0"/>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上海市婴幼儿配方乳粉和特殊医学用途配方食品</w:t>
      </w:r>
    </w:p>
    <w:p>
      <w:pPr>
        <w:tabs>
          <w:tab w:val="left" w:pos="790"/>
        </w:tabs>
        <w:overflowPunct w:val="0"/>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销售安全监督检查指南（试行）</w:t>
      </w:r>
    </w:p>
    <w:p>
      <w:pPr>
        <w:tabs>
          <w:tab w:val="left" w:pos="790"/>
          <w:tab w:val="left" w:pos="1264"/>
        </w:tabs>
        <w:overflowPunct w:val="0"/>
        <w:adjustRightInd w:val="0"/>
        <w:snapToGrid w:val="0"/>
        <w:spacing w:line="336" w:lineRule="auto"/>
        <w:ind w:firstLine="624"/>
        <w:rPr>
          <w:rFonts w:hAnsi="宋体"/>
          <w:kern w:val="0"/>
          <w:szCs w:val="30"/>
        </w:rPr>
      </w:pPr>
    </w:p>
    <w:tbl>
      <w:tblPr>
        <w:tblStyle w:val="6"/>
        <w:tblW w:w="1360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8"/>
        <w:gridCol w:w="1191"/>
        <w:gridCol w:w="1474"/>
        <w:gridCol w:w="4026"/>
        <w:gridCol w:w="63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67" w:hRule="atLeast"/>
          <w:tblHeader/>
          <w:jc w:val="center"/>
        </w:trPr>
        <w:tc>
          <w:tcPr>
            <w:tcW w:w="568" w:type="dxa"/>
            <w:vAlign w:val="center"/>
          </w:tcPr>
          <w:p>
            <w:pPr>
              <w:overflowPunct w:val="0"/>
              <w:adjustRightInd w:val="0"/>
              <w:snapToGrid w:val="0"/>
              <w:ind w:left="-85" w:right="-85"/>
              <w:jc w:val="center"/>
              <w:rPr>
                <w:rFonts w:ascii="黑体" w:hAnsi="黑体" w:eastAsia="黑体"/>
                <w:kern w:val="0"/>
                <w:sz w:val="24"/>
                <w:szCs w:val="24"/>
              </w:rPr>
            </w:pPr>
            <w:r>
              <w:rPr>
                <w:rFonts w:hint="eastAsia" w:ascii="黑体" w:hAnsi="黑体" w:eastAsia="黑体"/>
                <w:kern w:val="0"/>
                <w:sz w:val="24"/>
                <w:szCs w:val="24"/>
              </w:rPr>
              <w:t>序号</w:t>
            </w:r>
          </w:p>
        </w:tc>
        <w:tc>
          <w:tcPr>
            <w:tcW w:w="1191" w:type="dxa"/>
            <w:vAlign w:val="center"/>
          </w:tcPr>
          <w:p>
            <w:pPr>
              <w:overflowPunct w:val="0"/>
              <w:adjustRightInd w:val="0"/>
              <w:snapToGrid w:val="0"/>
              <w:jc w:val="center"/>
              <w:rPr>
                <w:rFonts w:ascii="黑体" w:hAnsi="黑体" w:eastAsia="黑体"/>
                <w:kern w:val="0"/>
                <w:sz w:val="24"/>
                <w:szCs w:val="24"/>
              </w:rPr>
            </w:pPr>
            <w:r>
              <w:rPr>
                <w:rFonts w:hint="eastAsia" w:ascii="黑体" w:hAnsi="黑体" w:eastAsia="黑体"/>
                <w:kern w:val="0"/>
                <w:sz w:val="24"/>
                <w:szCs w:val="24"/>
              </w:rPr>
              <w:t>检查项目</w:t>
            </w:r>
          </w:p>
        </w:tc>
        <w:tc>
          <w:tcPr>
            <w:tcW w:w="1474" w:type="dxa"/>
            <w:vAlign w:val="center"/>
          </w:tcPr>
          <w:p>
            <w:pPr>
              <w:overflowPunct w:val="0"/>
              <w:adjustRightInd w:val="0"/>
              <w:snapToGrid w:val="0"/>
              <w:jc w:val="center"/>
              <w:rPr>
                <w:rFonts w:ascii="黑体" w:hAnsi="黑体" w:eastAsia="黑体"/>
                <w:kern w:val="0"/>
                <w:sz w:val="24"/>
                <w:szCs w:val="24"/>
              </w:rPr>
            </w:pPr>
            <w:r>
              <w:rPr>
                <w:rFonts w:hint="eastAsia" w:ascii="黑体" w:hAnsi="黑体" w:eastAsia="黑体"/>
                <w:kern w:val="0"/>
                <w:sz w:val="24"/>
                <w:szCs w:val="24"/>
              </w:rPr>
              <w:t>检查内容</w:t>
            </w:r>
          </w:p>
        </w:tc>
        <w:tc>
          <w:tcPr>
            <w:tcW w:w="4026" w:type="dxa"/>
            <w:vAlign w:val="center"/>
          </w:tcPr>
          <w:p>
            <w:pPr>
              <w:overflowPunct w:val="0"/>
              <w:adjustRightInd w:val="0"/>
              <w:snapToGrid w:val="0"/>
              <w:jc w:val="center"/>
              <w:rPr>
                <w:rFonts w:ascii="黑体" w:hAnsi="黑体" w:eastAsia="黑体"/>
                <w:kern w:val="0"/>
                <w:sz w:val="24"/>
                <w:szCs w:val="24"/>
              </w:rPr>
            </w:pPr>
            <w:r>
              <w:rPr>
                <w:rFonts w:hint="eastAsia" w:ascii="黑体" w:hAnsi="黑体" w:eastAsia="黑体"/>
                <w:kern w:val="0"/>
                <w:sz w:val="24"/>
                <w:szCs w:val="24"/>
              </w:rPr>
              <w:t>检查要点</w:t>
            </w:r>
          </w:p>
        </w:tc>
        <w:tc>
          <w:tcPr>
            <w:tcW w:w="6349" w:type="dxa"/>
            <w:vAlign w:val="center"/>
          </w:tcPr>
          <w:p>
            <w:pPr>
              <w:overflowPunct w:val="0"/>
              <w:adjustRightInd w:val="0"/>
              <w:snapToGrid w:val="0"/>
              <w:jc w:val="center"/>
              <w:rPr>
                <w:rFonts w:ascii="黑体" w:hAnsi="黑体" w:eastAsia="黑体"/>
                <w:kern w:val="0"/>
                <w:sz w:val="24"/>
                <w:szCs w:val="24"/>
              </w:rPr>
            </w:pPr>
            <w:r>
              <w:rPr>
                <w:rFonts w:hint="eastAsia" w:ascii="黑体" w:hAnsi="黑体" w:eastAsia="黑体"/>
                <w:kern w:val="0"/>
                <w:sz w:val="24"/>
                <w:szCs w:val="24"/>
              </w:rPr>
              <w:t>相关说明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119" w:hRule="atLeast"/>
          <w:jc w:val="center"/>
        </w:trPr>
        <w:tc>
          <w:tcPr>
            <w:tcW w:w="568" w:type="dxa"/>
            <w:vAlign w:val="center"/>
          </w:tcPr>
          <w:p>
            <w:pPr>
              <w:overflowPunct w:val="0"/>
              <w:adjustRightInd w:val="0"/>
              <w:snapToGrid w:val="0"/>
              <w:jc w:val="center"/>
              <w:rPr>
                <w:kern w:val="0"/>
                <w:sz w:val="24"/>
                <w:szCs w:val="24"/>
              </w:rPr>
            </w:pPr>
            <w:r>
              <w:rPr>
                <w:rFonts w:hint="eastAsia"/>
                <w:kern w:val="0"/>
                <w:sz w:val="24"/>
                <w:szCs w:val="24"/>
              </w:rPr>
              <w:t>1</w:t>
            </w:r>
          </w:p>
        </w:tc>
        <w:tc>
          <w:tcPr>
            <w:tcW w:w="1191" w:type="dxa"/>
            <w:vAlign w:val="center"/>
          </w:tcPr>
          <w:p>
            <w:pPr>
              <w:overflowPunct w:val="0"/>
              <w:adjustRightInd w:val="0"/>
              <w:snapToGrid w:val="0"/>
              <w:rPr>
                <w:kern w:val="0"/>
                <w:sz w:val="24"/>
                <w:szCs w:val="24"/>
              </w:rPr>
            </w:pPr>
            <w:r>
              <w:rPr>
                <w:rFonts w:hint="eastAsia"/>
                <w:kern w:val="0"/>
                <w:sz w:val="24"/>
                <w:szCs w:val="24"/>
              </w:rPr>
              <w:t>食品经营许可（或备案）</w:t>
            </w:r>
          </w:p>
        </w:tc>
        <w:tc>
          <w:tcPr>
            <w:tcW w:w="1474" w:type="dxa"/>
            <w:vAlign w:val="center"/>
          </w:tcPr>
          <w:p>
            <w:pPr>
              <w:overflowPunct w:val="0"/>
              <w:adjustRightInd w:val="0"/>
              <w:snapToGrid w:val="0"/>
              <w:rPr>
                <w:kern w:val="0"/>
                <w:sz w:val="24"/>
                <w:szCs w:val="24"/>
              </w:rPr>
            </w:pPr>
            <w:r>
              <w:rPr>
                <w:kern w:val="0"/>
                <w:sz w:val="24"/>
                <w:szCs w:val="24"/>
              </w:rPr>
              <w:t xml:space="preserve">1.1 </w:t>
            </w:r>
            <w:r>
              <w:rPr>
                <w:rFonts w:hint="eastAsia"/>
                <w:kern w:val="0"/>
                <w:sz w:val="24"/>
                <w:szCs w:val="24"/>
              </w:rPr>
              <w:t>食品经营许可证（或备案）和许可经营（或备案）项目</w:t>
            </w:r>
          </w:p>
        </w:tc>
        <w:tc>
          <w:tcPr>
            <w:tcW w:w="4026" w:type="dxa"/>
            <w:vAlign w:val="center"/>
          </w:tcPr>
          <w:p>
            <w:pPr>
              <w:overflowPunct w:val="0"/>
              <w:adjustRightInd w:val="0"/>
              <w:snapToGrid w:val="0"/>
              <w:rPr>
                <w:kern w:val="0"/>
                <w:sz w:val="24"/>
                <w:szCs w:val="24"/>
              </w:rPr>
            </w:pPr>
            <w:r>
              <w:rPr>
                <w:rFonts w:hint="eastAsia"/>
                <w:kern w:val="0"/>
                <w:sz w:val="24"/>
                <w:szCs w:val="24"/>
              </w:rPr>
              <w:t>1．检查现场销售的婴幼儿配方乳粉和特殊医学用途配方食品类别是否与许可证载明（或备案）的类别一致。</w:t>
            </w:r>
          </w:p>
        </w:tc>
        <w:tc>
          <w:tcPr>
            <w:tcW w:w="6349" w:type="dxa"/>
            <w:vAlign w:val="center"/>
          </w:tcPr>
          <w:p>
            <w:pPr>
              <w:overflowPunct w:val="0"/>
              <w:adjustRightInd w:val="0"/>
              <w:snapToGrid w:val="0"/>
              <w:rPr>
                <w:kern w:val="0"/>
                <w:sz w:val="24"/>
                <w:szCs w:val="24"/>
              </w:rPr>
            </w:pPr>
            <w:r>
              <w:rPr>
                <w:rFonts w:hint="eastAsia"/>
                <w:kern w:val="0"/>
                <w:sz w:val="24"/>
                <w:szCs w:val="24"/>
              </w:rPr>
              <w:t>1．销售婴幼儿配方乳粉和特殊医学用途配方食品的，许可证（或备案）经营项目应载明“婴幼儿配方乳粉”“特殊医学用途配方食品”。</w:t>
            </w:r>
          </w:p>
          <w:p>
            <w:pPr>
              <w:overflowPunct w:val="0"/>
              <w:adjustRightInd w:val="0"/>
              <w:snapToGrid w:val="0"/>
              <w:rPr>
                <w:kern w:val="0"/>
                <w:sz w:val="24"/>
                <w:szCs w:val="24"/>
              </w:rPr>
            </w:pPr>
            <w:r>
              <w:rPr>
                <w:rFonts w:hint="eastAsia"/>
                <w:kern w:val="0"/>
                <w:sz w:val="24"/>
                <w:szCs w:val="24"/>
              </w:rPr>
              <w:t>2．医疗机构和药品零售企业之外的单位或者个人不得向消费者销售特殊医学用途配方食品中的特定全营养配方食品。</w:t>
            </w:r>
          </w:p>
          <w:p>
            <w:pPr>
              <w:overflowPunct w:val="0"/>
              <w:adjustRightInd w:val="0"/>
              <w:snapToGrid w:val="0"/>
              <w:rPr>
                <w:kern w:val="0"/>
                <w:sz w:val="24"/>
                <w:szCs w:val="24"/>
              </w:rPr>
            </w:pPr>
            <w:r>
              <w:rPr>
                <w:rFonts w:hint="eastAsia"/>
                <w:kern w:val="0"/>
                <w:sz w:val="24"/>
                <w:szCs w:val="24"/>
              </w:rPr>
              <w:t>3．医疗机构、药品零售企业销售特定全营养配方食品的，不需要取得食品经营许可。</w:t>
            </w:r>
          </w:p>
          <w:p>
            <w:pPr>
              <w:overflowPunct w:val="0"/>
              <w:adjustRightInd w:val="0"/>
              <w:snapToGrid w:val="0"/>
              <w:rPr>
                <w:kern w:val="0"/>
                <w:sz w:val="24"/>
                <w:szCs w:val="24"/>
              </w:rPr>
            </w:pPr>
            <w:r>
              <w:rPr>
                <w:rFonts w:hint="eastAsia"/>
                <w:kern w:val="0"/>
                <w:sz w:val="24"/>
                <w:szCs w:val="24"/>
              </w:rPr>
              <w:t>4．医疗机构配制的供病人食用的营养餐不属于特殊医学用途配方食品。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835" w:hRule="atLeast"/>
          <w:jc w:val="center"/>
        </w:trPr>
        <w:tc>
          <w:tcPr>
            <w:tcW w:w="568" w:type="dxa"/>
            <w:vAlign w:val="center"/>
          </w:tcPr>
          <w:p>
            <w:pPr>
              <w:overflowPunct w:val="0"/>
              <w:adjustRightInd w:val="0"/>
              <w:snapToGrid w:val="0"/>
              <w:jc w:val="center"/>
              <w:rPr>
                <w:kern w:val="0"/>
                <w:sz w:val="24"/>
                <w:szCs w:val="24"/>
              </w:rPr>
            </w:pPr>
            <w:r>
              <w:rPr>
                <w:rFonts w:hint="eastAsia"/>
                <w:kern w:val="0"/>
                <w:sz w:val="24"/>
                <w:szCs w:val="24"/>
              </w:rPr>
              <w:t>2</w:t>
            </w:r>
          </w:p>
        </w:tc>
        <w:tc>
          <w:tcPr>
            <w:tcW w:w="1191" w:type="dxa"/>
            <w:vAlign w:val="center"/>
          </w:tcPr>
          <w:p>
            <w:pPr>
              <w:overflowPunct w:val="0"/>
              <w:adjustRightInd w:val="0"/>
              <w:snapToGrid w:val="0"/>
              <w:rPr>
                <w:kern w:val="0"/>
                <w:sz w:val="24"/>
                <w:szCs w:val="24"/>
              </w:rPr>
            </w:pPr>
            <w:r>
              <w:rPr>
                <w:rFonts w:hint="eastAsia"/>
                <w:kern w:val="0"/>
                <w:sz w:val="24"/>
                <w:szCs w:val="24"/>
              </w:rPr>
              <w:t>进货查验和追溯管理</w:t>
            </w:r>
          </w:p>
        </w:tc>
        <w:tc>
          <w:tcPr>
            <w:tcW w:w="1474" w:type="dxa"/>
            <w:vAlign w:val="center"/>
          </w:tcPr>
          <w:p>
            <w:pPr>
              <w:overflowPunct w:val="0"/>
              <w:adjustRightInd w:val="0"/>
              <w:snapToGrid w:val="0"/>
              <w:rPr>
                <w:kern w:val="0"/>
                <w:sz w:val="24"/>
                <w:szCs w:val="24"/>
              </w:rPr>
            </w:pPr>
            <w:r>
              <w:rPr>
                <w:rFonts w:hint="eastAsia"/>
                <w:kern w:val="0"/>
                <w:sz w:val="24"/>
                <w:szCs w:val="24"/>
              </w:rPr>
              <w:t>2.1 供货者资质证明和产品注册证明</w:t>
            </w:r>
          </w:p>
        </w:tc>
        <w:tc>
          <w:tcPr>
            <w:tcW w:w="4026" w:type="dxa"/>
            <w:vAlign w:val="center"/>
          </w:tcPr>
          <w:p>
            <w:pPr>
              <w:overflowPunct w:val="0"/>
              <w:adjustRightInd w:val="0"/>
              <w:snapToGrid w:val="0"/>
              <w:rPr>
                <w:kern w:val="0"/>
                <w:sz w:val="24"/>
                <w:szCs w:val="24"/>
              </w:rPr>
            </w:pPr>
            <w:r>
              <w:rPr>
                <w:rFonts w:hint="eastAsia"/>
                <w:kern w:val="0"/>
                <w:sz w:val="24"/>
                <w:szCs w:val="24"/>
              </w:rPr>
              <w:t>1．查验并留存婴幼儿配方乳粉和特殊医学用途配方食品供货者生产经营许可证（或备案）、产品（配方）注册证书等证明；检查产品（配方）注册证书与实际销售产品相符。</w:t>
            </w:r>
          </w:p>
        </w:tc>
        <w:tc>
          <w:tcPr>
            <w:tcW w:w="6349" w:type="dxa"/>
            <w:vAlign w:val="center"/>
          </w:tcPr>
          <w:p>
            <w:pPr>
              <w:overflowPunct w:val="0"/>
              <w:adjustRightInd w:val="0"/>
              <w:snapToGrid w:val="0"/>
              <w:rPr>
                <w:kern w:val="0"/>
                <w:sz w:val="24"/>
                <w:szCs w:val="24"/>
              </w:rPr>
            </w:pPr>
            <w:r>
              <w:rPr>
                <w:rFonts w:hint="eastAsia"/>
                <w:kern w:val="0"/>
                <w:sz w:val="24"/>
                <w:szCs w:val="24"/>
              </w:rPr>
              <w:t>1．从生产单位直接采购的，检查食品生产许可证复印件等资质证明文件。从其他销售单位采购的，检查食品经营许可证（或备案）复印件等资质证明文件。相关资质证明文件复印件应加盖供应商公章（或签字）。</w:t>
            </w:r>
          </w:p>
          <w:p>
            <w:pPr>
              <w:overflowPunct w:val="0"/>
              <w:adjustRightInd w:val="0"/>
              <w:snapToGrid w:val="0"/>
              <w:rPr>
                <w:kern w:val="0"/>
                <w:sz w:val="24"/>
                <w:szCs w:val="24"/>
              </w:rPr>
            </w:pPr>
            <w:r>
              <w:rPr>
                <w:rFonts w:hint="eastAsia"/>
                <w:kern w:val="0"/>
                <w:sz w:val="24"/>
                <w:szCs w:val="24"/>
              </w:rPr>
              <w:t>2．生产许可证信息应包含附件品种明细表，列明婴幼儿配方乳粉和特殊医学用途配方食品品种信息。</w:t>
            </w:r>
          </w:p>
          <w:p>
            <w:pPr>
              <w:overflowPunct w:val="0"/>
              <w:adjustRightInd w:val="0"/>
              <w:snapToGrid w:val="0"/>
              <w:rPr>
                <w:kern w:val="0"/>
                <w:sz w:val="24"/>
                <w:szCs w:val="24"/>
              </w:rPr>
            </w:pPr>
            <w:r>
              <w:rPr>
                <w:rFonts w:hint="eastAsia"/>
                <w:kern w:val="0"/>
                <w:sz w:val="24"/>
                <w:szCs w:val="24"/>
              </w:rPr>
              <w:t>3．婴幼儿配方乳粉的产品配方、特殊医学用途配方食品应当经国家市场监管总局注册，并取得注册证书。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814" w:hRule="atLeast"/>
          <w:jc w:val="center"/>
        </w:trPr>
        <w:tc>
          <w:tcPr>
            <w:tcW w:w="568" w:type="dxa"/>
            <w:vMerge w:val="restart"/>
            <w:vAlign w:val="center"/>
          </w:tcPr>
          <w:p>
            <w:pPr>
              <w:overflowPunct w:val="0"/>
              <w:adjustRightInd w:val="0"/>
              <w:snapToGrid w:val="0"/>
              <w:jc w:val="center"/>
              <w:rPr>
                <w:kern w:val="0"/>
                <w:sz w:val="24"/>
                <w:szCs w:val="24"/>
              </w:rPr>
            </w:pPr>
            <w:r>
              <w:rPr>
                <w:rFonts w:hint="eastAsia"/>
                <w:kern w:val="0"/>
                <w:sz w:val="24"/>
                <w:szCs w:val="24"/>
              </w:rPr>
              <w:t>2</w:t>
            </w:r>
          </w:p>
        </w:tc>
        <w:tc>
          <w:tcPr>
            <w:tcW w:w="1191" w:type="dxa"/>
            <w:vMerge w:val="restart"/>
            <w:vAlign w:val="center"/>
          </w:tcPr>
          <w:p>
            <w:pPr>
              <w:overflowPunct w:val="0"/>
              <w:adjustRightInd w:val="0"/>
              <w:snapToGrid w:val="0"/>
              <w:rPr>
                <w:kern w:val="0"/>
                <w:sz w:val="24"/>
                <w:szCs w:val="24"/>
              </w:rPr>
            </w:pPr>
            <w:r>
              <w:rPr>
                <w:rFonts w:hint="eastAsia"/>
                <w:kern w:val="0"/>
                <w:sz w:val="24"/>
                <w:szCs w:val="24"/>
              </w:rPr>
              <w:t>进货查验和追溯管理</w:t>
            </w:r>
          </w:p>
        </w:tc>
        <w:tc>
          <w:tcPr>
            <w:tcW w:w="1474" w:type="dxa"/>
            <w:vAlign w:val="center"/>
          </w:tcPr>
          <w:p>
            <w:pPr>
              <w:overflowPunct w:val="0"/>
              <w:adjustRightInd w:val="0"/>
              <w:snapToGrid w:val="0"/>
              <w:rPr>
                <w:kern w:val="0"/>
                <w:sz w:val="24"/>
                <w:szCs w:val="24"/>
              </w:rPr>
            </w:pPr>
            <w:r>
              <w:rPr>
                <w:rFonts w:hint="eastAsia"/>
                <w:kern w:val="0"/>
                <w:sz w:val="24"/>
                <w:szCs w:val="24"/>
              </w:rPr>
              <w:t>2.2 产品合格证明或检验检疫证明</w:t>
            </w:r>
          </w:p>
        </w:tc>
        <w:tc>
          <w:tcPr>
            <w:tcW w:w="4026" w:type="dxa"/>
            <w:vAlign w:val="center"/>
          </w:tcPr>
          <w:p>
            <w:pPr>
              <w:overflowPunct w:val="0"/>
              <w:adjustRightInd w:val="0"/>
              <w:snapToGrid w:val="0"/>
              <w:rPr>
                <w:kern w:val="0"/>
                <w:sz w:val="24"/>
                <w:szCs w:val="24"/>
              </w:rPr>
            </w:pPr>
            <w:r>
              <w:rPr>
                <w:rFonts w:hint="eastAsia"/>
                <w:kern w:val="0"/>
                <w:sz w:val="24"/>
                <w:szCs w:val="24"/>
              </w:rPr>
              <w:t>1．检查销售的产品是否有对应批次出厂检验合格证明（国产产品）或检验检疫证明（进口产品）。</w:t>
            </w:r>
          </w:p>
        </w:tc>
        <w:tc>
          <w:tcPr>
            <w:tcW w:w="6349" w:type="dxa"/>
            <w:vAlign w:val="center"/>
          </w:tcPr>
          <w:p>
            <w:pPr>
              <w:overflowPunct w:val="0"/>
              <w:adjustRightInd w:val="0"/>
              <w:snapToGrid w:val="0"/>
              <w:rPr>
                <w:kern w:val="0"/>
                <w:sz w:val="24"/>
                <w:szCs w:val="24"/>
              </w:rPr>
            </w:pPr>
            <w:r>
              <w:rPr>
                <w:rFonts w:hint="eastAsia"/>
                <w:kern w:val="0"/>
                <w:sz w:val="24"/>
                <w:szCs w:val="24"/>
              </w:rPr>
              <w:t>1．国产婴幼儿配方乳粉和特殊医学用途配方食品应当有按生产批次的产品出厂检验合格证明；进口婴幼儿配方乳粉和特殊医学用途配方食品应当有按进口批次的入境货物检验检疫证明。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629" w:hRule="atLeast"/>
          <w:jc w:val="center"/>
        </w:trPr>
        <w:tc>
          <w:tcPr>
            <w:tcW w:w="568" w:type="dxa"/>
            <w:vMerge w:val="continue"/>
            <w:vAlign w:val="center"/>
          </w:tcPr>
          <w:p>
            <w:pPr>
              <w:overflowPunct w:val="0"/>
              <w:adjustRightInd w:val="0"/>
              <w:snapToGrid w:val="0"/>
              <w:jc w:val="center"/>
              <w:rPr>
                <w:kern w:val="0"/>
                <w:sz w:val="24"/>
                <w:szCs w:val="24"/>
              </w:rPr>
            </w:pPr>
          </w:p>
        </w:tc>
        <w:tc>
          <w:tcPr>
            <w:tcW w:w="1191" w:type="dxa"/>
            <w:vMerge w:val="continue"/>
            <w:vAlign w:val="center"/>
          </w:tcPr>
          <w:p>
            <w:pPr>
              <w:overflowPunct w:val="0"/>
              <w:adjustRightInd w:val="0"/>
              <w:snapToGrid w:val="0"/>
              <w:rPr>
                <w:kern w:val="0"/>
                <w:sz w:val="24"/>
                <w:szCs w:val="24"/>
              </w:rPr>
            </w:pPr>
          </w:p>
        </w:tc>
        <w:tc>
          <w:tcPr>
            <w:tcW w:w="1474" w:type="dxa"/>
            <w:vAlign w:val="center"/>
          </w:tcPr>
          <w:p>
            <w:pPr>
              <w:overflowPunct w:val="0"/>
              <w:adjustRightInd w:val="0"/>
              <w:snapToGrid w:val="0"/>
              <w:rPr>
                <w:kern w:val="0"/>
                <w:sz w:val="24"/>
                <w:szCs w:val="24"/>
              </w:rPr>
            </w:pPr>
            <w:r>
              <w:rPr>
                <w:rFonts w:hint="eastAsia"/>
                <w:kern w:val="0"/>
                <w:sz w:val="24"/>
                <w:szCs w:val="24"/>
              </w:rPr>
              <w:t>2.3 进货凭证和记录</w:t>
            </w:r>
          </w:p>
        </w:tc>
        <w:tc>
          <w:tcPr>
            <w:tcW w:w="4026" w:type="dxa"/>
            <w:vAlign w:val="center"/>
          </w:tcPr>
          <w:p>
            <w:pPr>
              <w:overflowPunct w:val="0"/>
              <w:adjustRightInd w:val="0"/>
              <w:snapToGrid w:val="0"/>
              <w:rPr>
                <w:kern w:val="0"/>
                <w:sz w:val="24"/>
                <w:szCs w:val="24"/>
              </w:rPr>
            </w:pPr>
            <w:r>
              <w:rPr>
                <w:rFonts w:hint="eastAsia"/>
                <w:kern w:val="0"/>
                <w:sz w:val="24"/>
                <w:szCs w:val="24"/>
              </w:rPr>
              <w:t>1．检查是否查验并留存进货凭证，并按要求记录。</w:t>
            </w:r>
          </w:p>
        </w:tc>
        <w:tc>
          <w:tcPr>
            <w:tcW w:w="6349" w:type="dxa"/>
            <w:vAlign w:val="center"/>
          </w:tcPr>
          <w:p>
            <w:pPr>
              <w:overflowPunct w:val="0"/>
              <w:adjustRightInd w:val="0"/>
              <w:snapToGrid w:val="0"/>
              <w:rPr>
                <w:kern w:val="0"/>
                <w:sz w:val="24"/>
                <w:szCs w:val="24"/>
              </w:rPr>
            </w:pPr>
            <w:r>
              <w:rPr>
                <w:rFonts w:hint="eastAsia"/>
                <w:kern w:val="0"/>
                <w:sz w:val="24"/>
                <w:szCs w:val="24"/>
              </w:rPr>
              <w:t>1．婴幼儿配方乳粉和特殊医学用途配方食品销售者应当留存相关进货凭证并记录，货证应当相符。</w:t>
            </w:r>
          </w:p>
          <w:p>
            <w:pPr>
              <w:overflowPunct w:val="0"/>
              <w:adjustRightInd w:val="0"/>
              <w:snapToGrid w:val="0"/>
              <w:rPr>
                <w:kern w:val="0"/>
                <w:sz w:val="24"/>
                <w:szCs w:val="24"/>
              </w:rPr>
            </w:pPr>
            <w:r>
              <w:rPr>
                <w:rFonts w:hint="eastAsia"/>
                <w:kern w:val="0"/>
                <w:sz w:val="24"/>
                <w:szCs w:val="24"/>
              </w:rPr>
              <w:t>2．检查销售企业是否落实食品进货查验制度：</w:t>
            </w:r>
          </w:p>
          <w:p>
            <w:pPr>
              <w:overflowPunct w:val="0"/>
              <w:adjustRightInd w:val="0"/>
              <w:snapToGrid w:val="0"/>
              <w:rPr>
                <w:kern w:val="0"/>
                <w:sz w:val="24"/>
                <w:szCs w:val="24"/>
              </w:rPr>
            </w:pPr>
            <w:r>
              <w:rPr>
                <w:rFonts w:hint="eastAsia"/>
                <w:kern w:val="0"/>
                <w:sz w:val="24"/>
                <w:szCs w:val="24"/>
              </w:rPr>
              <w:t>（1）是否如实记录食品的名称、规格、数量、生产日期或者生产批号、保质期、进货日期以及供货者名称、地址、联系方式等内容；</w:t>
            </w:r>
          </w:p>
          <w:p>
            <w:pPr>
              <w:overflowPunct w:val="0"/>
              <w:adjustRightInd w:val="0"/>
              <w:snapToGrid w:val="0"/>
              <w:rPr>
                <w:kern w:val="0"/>
                <w:sz w:val="24"/>
                <w:szCs w:val="24"/>
              </w:rPr>
            </w:pPr>
            <w:r>
              <w:rPr>
                <w:rFonts w:hint="eastAsia"/>
                <w:kern w:val="0"/>
                <w:sz w:val="24"/>
                <w:szCs w:val="24"/>
              </w:rPr>
              <w:t>（2）记录和凭证是否保存至产品保质期满后六个月。</w:t>
            </w:r>
          </w:p>
          <w:p>
            <w:pPr>
              <w:overflowPunct w:val="0"/>
              <w:adjustRightInd w:val="0"/>
              <w:snapToGrid w:val="0"/>
              <w:rPr>
                <w:kern w:val="0"/>
                <w:sz w:val="24"/>
                <w:szCs w:val="24"/>
              </w:rPr>
            </w:pPr>
            <w:r>
              <w:rPr>
                <w:rFonts w:hint="eastAsia"/>
                <w:kern w:val="0"/>
                <w:sz w:val="24"/>
                <w:szCs w:val="24"/>
              </w:rPr>
              <w:t>3．对实行由总部统一配送经营方式的销售企业，销售门店应保存总部配送清单，并采取一定形式，方便监管部门检查经总部统一查验的供货者资质及产品合格证明文件。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2495" w:hRule="atLeast"/>
          <w:jc w:val="center"/>
        </w:trPr>
        <w:tc>
          <w:tcPr>
            <w:tcW w:w="568" w:type="dxa"/>
            <w:vMerge w:val="continue"/>
            <w:vAlign w:val="center"/>
          </w:tcPr>
          <w:p>
            <w:pPr>
              <w:overflowPunct w:val="0"/>
              <w:adjustRightInd w:val="0"/>
              <w:snapToGrid w:val="0"/>
              <w:jc w:val="center"/>
              <w:rPr>
                <w:kern w:val="0"/>
                <w:sz w:val="24"/>
                <w:szCs w:val="24"/>
              </w:rPr>
            </w:pPr>
          </w:p>
        </w:tc>
        <w:tc>
          <w:tcPr>
            <w:tcW w:w="1191" w:type="dxa"/>
            <w:vMerge w:val="continue"/>
            <w:vAlign w:val="center"/>
          </w:tcPr>
          <w:p>
            <w:pPr>
              <w:overflowPunct w:val="0"/>
              <w:adjustRightInd w:val="0"/>
              <w:snapToGrid w:val="0"/>
              <w:rPr>
                <w:kern w:val="0"/>
                <w:sz w:val="24"/>
                <w:szCs w:val="24"/>
              </w:rPr>
            </w:pPr>
          </w:p>
        </w:tc>
        <w:tc>
          <w:tcPr>
            <w:tcW w:w="1474" w:type="dxa"/>
            <w:vAlign w:val="center"/>
          </w:tcPr>
          <w:p>
            <w:pPr>
              <w:overflowPunct w:val="0"/>
              <w:adjustRightInd w:val="0"/>
              <w:snapToGrid w:val="0"/>
              <w:rPr>
                <w:kern w:val="0"/>
                <w:sz w:val="24"/>
                <w:szCs w:val="24"/>
              </w:rPr>
            </w:pPr>
            <w:r>
              <w:rPr>
                <w:rFonts w:hint="eastAsia"/>
                <w:kern w:val="0"/>
                <w:sz w:val="24"/>
                <w:szCs w:val="24"/>
              </w:rPr>
              <w:t>2.4 建立食品安全追溯体系、提供食品安全追溯信息</w:t>
            </w:r>
          </w:p>
        </w:tc>
        <w:tc>
          <w:tcPr>
            <w:tcW w:w="4026" w:type="dxa"/>
            <w:vAlign w:val="center"/>
          </w:tcPr>
          <w:p>
            <w:pPr>
              <w:overflowPunct w:val="0"/>
              <w:adjustRightInd w:val="0"/>
              <w:snapToGrid w:val="0"/>
              <w:rPr>
                <w:kern w:val="0"/>
                <w:sz w:val="24"/>
                <w:szCs w:val="24"/>
              </w:rPr>
            </w:pPr>
            <w:r>
              <w:rPr>
                <w:rFonts w:hint="eastAsia"/>
                <w:kern w:val="0"/>
                <w:sz w:val="24"/>
                <w:szCs w:val="24"/>
              </w:rPr>
              <w:t>1．是否建立食品安全追溯体系，保证婴幼儿配方乳粉和特殊医学用途配方食品可追溯。</w:t>
            </w:r>
          </w:p>
          <w:p>
            <w:pPr>
              <w:overflowPunct w:val="0"/>
              <w:adjustRightInd w:val="0"/>
              <w:snapToGrid w:val="0"/>
              <w:rPr>
                <w:kern w:val="0"/>
                <w:sz w:val="24"/>
                <w:szCs w:val="24"/>
              </w:rPr>
            </w:pPr>
            <w:r>
              <w:rPr>
                <w:rFonts w:hint="eastAsia"/>
                <w:kern w:val="0"/>
                <w:sz w:val="24"/>
                <w:szCs w:val="24"/>
              </w:rPr>
              <w:t>2．是否按照要求向本市食品安全信息追溯平台上传追溯信息，向消费者提供追溯信息查询。</w:t>
            </w:r>
          </w:p>
        </w:tc>
        <w:tc>
          <w:tcPr>
            <w:tcW w:w="6349" w:type="dxa"/>
            <w:vAlign w:val="center"/>
          </w:tcPr>
          <w:p>
            <w:pPr>
              <w:overflowPunct w:val="0"/>
              <w:adjustRightInd w:val="0"/>
              <w:snapToGrid w:val="0"/>
              <w:rPr>
                <w:kern w:val="0"/>
                <w:sz w:val="24"/>
                <w:szCs w:val="24"/>
              </w:rPr>
            </w:pPr>
            <w:r>
              <w:rPr>
                <w:rFonts w:hint="eastAsia"/>
                <w:kern w:val="0"/>
                <w:sz w:val="24"/>
                <w:szCs w:val="24"/>
              </w:rPr>
              <w:t>1．销售者应当建立婴幼儿配方乳粉和特殊医学用途配方食品的食品安全追溯体系，如实记录并保存进货查验、批发销售等相关信息，保证特殊食品可追溯。</w:t>
            </w:r>
          </w:p>
          <w:p>
            <w:pPr>
              <w:overflowPunct w:val="0"/>
              <w:adjustRightInd w:val="0"/>
              <w:snapToGrid w:val="0"/>
              <w:rPr>
                <w:color w:val="FF0000"/>
                <w:kern w:val="0"/>
                <w:sz w:val="24"/>
                <w:szCs w:val="24"/>
              </w:rPr>
            </w:pPr>
            <w:r>
              <w:rPr>
                <w:rFonts w:hint="eastAsia"/>
                <w:kern w:val="0"/>
                <w:sz w:val="24"/>
                <w:szCs w:val="24"/>
              </w:rPr>
              <w:t>2．应当按照《上海市食品安全信息追溯管理办法》及市市场监管局有关规定向本市食品安全信息追溯平台上传信息，能够向消费者提供追溯信息查询。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572" w:hRule="atLeast"/>
          <w:jc w:val="center"/>
        </w:trPr>
        <w:tc>
          <w:tcPr>
            <w:tcW w:w="568" w:type="dxa"/>
            <w:vMerge w:val="restart"/>
            <w:vAlign w:val="center"/>
          </w:tcPr>
          <w:p>
            <w:pPr>
              <w:overflowPunct w:val="0"/>
              <w:adjustRightInd w:val="0"/>
              <w:snapToGrid w:val="0"/>
              <w:jc w:val="center"/>
              <w:rPr>
                <w:kern w:val="0"/>
                <w:sz w:val="24"/>
                <w:szCs w:val="24"/>
              </w:rPr>
            </w:pPr>
            <w:r>
              <w:rPr>
                <w:rFonts w:hint="eastAsia"/>
                <w:kern w:val="0"/>
                <w:sz w:val="24"/>
                <w:szCs w:val="24"/>
              </w:rPr>
              <w:t>3</w:t>
            </w:r>
          </w:p>
        </w:tc>
        <w:tc>
          <w:tcPr>
            <w:tcW w:w="1191" w:type="dxa"/>
            <w:vMerge w:val="restart"/>
            <w:vAlign w:val="center"/>
          </w:tcPr>
          <w:p>
            <w:pPr>
              <w:overflowPunct w:val="0"/>
              <w:adjustRightInd w:val="0"/>
              <w:snapToGrid w:val="0"/>
              <w:rPr>
                <w:kern w:val="0"/>
                <w:sz w:val="24"/>
                <w:szCs w:val="24"/>
              </w:rPr>
            </w:pPr>
            <w:r>
              <w:rPr>
                <w:rFonts w:hint="eastAsia"/>
                <w:kern w:val="0"/>
                <w:sz w:val="24"/>
                <w:szCs w:val="24"/>
              </w:rPr>
              <w:t>销售过程控制</w:t>
            </w:r>
          </w:p>
        </w:tc>
        <w:tc>
          <w:tcPr>
            <w:tcW w:w="1474" w:type="dxa"/>
            <w:vAlign w:val="center"/>
          </w:tcPr>
          <w:p>
            <w:pPr>
              <w:overflowPunct w:val="0"/>
              <w:adjustRightInd w:val="0"/>
              <w:snapToGrid w:val="0"/>
              <w:rPr>
                <w:kern w:val="0"/>
                <w:sz w:val="24"/>
                <w:szCs w:val="24"/>
              </w:rPr>
            </w:pPr>
            <w:r>
              <w:rPr>
                <w:rFonts w:hint="eastAsia"/>
                <w:kern w:val="0"/>
                <w:sz w:val="24"/>
                <w:szCs w:val="24"/>
              </w:rPr>
              <w:t>3.1 专区专柜销售</w:t>
            </w:r>
          </w:p>
        </w:tc>
        <w:tc>
          <w:tcPr>
            <w:tcW w:w="4026" w:type="dxa"/>
            <w:vAlign w:val="center"/>
          </w:tcPr>
          <w:p>
            <w:pPr>
              <w:overflowPunct w:val="0"/>
              <w:adjustRightInd w:val="0"/>
              <w:snapToGrid w:val="0"/>
              <w:rPr>
                <w:kern w:val="0"/>
                <w:sz w:val="24"/>
                <w:szCs w:val="24"/>
              </w:rPr>
            </w:pPr>
            <w:r>
              <w:rPr>
                <w:rFonts w:hint="eastAsia"/>
                <w:kern w:val="0"/>
                <w:sz w:val="24"/>
                <w:szCs w:val="24"/>
              </w:rPr>
              <w:t>1．检查是否专区专柜（货架）销售并设立提示牌，提示牌内容符合要求；是否有婴幼儿配方乳粉和特殊医学用途配方食品与普通食品或者药品混放、三类特殊食品混放情况。</w:t>
            </w:r>
          </w:p>
        </w:tc>
        <w:tc>
          <w:tcPr>
            <w:tcW w:w="6349" w:type="dxa"/>
            <w:vAlign w:val="center"/>
          </w:tcPr>
          <w:p>
            <w:pPr>
              <w:overflowPunct w:val="0"/>
              <w:adjustRightInd w:val="0"/>
              <w:snapToGrid w:val="0"/>
              <w:rPr>
                <w:kern w:val="0"/>
                <w:sz w:val="24"/>
                <w:szCs w:val="24"/>
              </w:rPr>
            </w:pPr>
            <w:r>
              <w:rPr>
                <w:rFonts w:hint="eastAsia"/>
                <w:kern w:val="0"/>
                <w:sz w:val="24"/>
                <w:szCs w:val="24"/>
              </w:rPr>
              <w:t>1．销售婴幼儿配方乳粉和特殊医学用途配方食品应当专区专柜（货架）摆放。不得与固体饮料、调制乳粉、中药饮片等普通食品或者药品混放。</w:t>
            </w:r>
          </w:p>
          <w:p>
            <w:pPr>
              <w:overflowPunct w:val="0"/>
              <w:adjustRightInd w:val="0"/>
              <w:snapToGrid w:val="0"/>
              <w:rPr>
                <w:spacing w:val="-4"/>
                <w:kern w:val="0"/>
                <w:sz w:val="24"/>
                <w:szCs w:val="24"/>
              </w:rPr>
            </w:pPr>
            <w:r>
              <w:rPr>
                <w:rFonts w:hint="eastAsia"/>
                <w:kern w:val="0"/>
                <w:sz w:val="24"/>
                <w:szCs w:val="24"/>
              </w:rPr>
              <w:t>2．</w:t>
            </w:r>
            <w:r>
              <w:rPr>
                <w:rFonts w:hint="eastAsia"/>
                <w:spacing w:val="-4"/>
                <w:kern w:val="0"/>
                <w:sz w:val="24"/>
                <w:szCs w:val="24"/>
              </w:rPr>
              <w:t>传统意义的滋补类中药材及其饮片、药食两用物质等不得与特殊食品混放销售，不得放置于特殊食品专柜或专区销售。</w:t>
            </w:r>
          </w:p>
          <w:p>
            <w:pPr>
              <w:overflowPunct w:val="0"/>
              <w:adjustRightInd w:val="0"/>
              <w:snapToGrid w:val="0"/>
              <w:rPr>
                <w:kern w:val="0"/>
                <w:sz w:val="24"/>
                <w:szCs w:val="24"/>
              </w:rPr>
            </w:pPr>
            <w:r>
              <w:rPr>
                <w:rFonts w:hint="eastAsia"/>
                <w:kern w:val="0"/>
                <w:sz w:val="24"/>
                <w:szCs w:val="24"/>
              </w:rPr>
              <w:t>3．医疗机构或者药品零售企业销售的特定全营养配方食品应专区专柜（货架）摆放，不能与药品混放销售。</w:t>
            </w:r>
          </w:p>
          <w:p>
            <w:pPr>
              <w:overflowPunct w:val="0"/>
              <w:adjustRightInd w:val="0"/>
              <w:snapToGrid w:val="0"/>
              <w:rPr>
                <w:kern w:val="0"/>
                <w:sz w:val="24"/>
                <w:szCs w:val="24"/>
              </w:rPr>
            </w:pPr>
            <w:r>
              <w:rPr>
                <w:rFonts w:hint="eastAsia"/>
                <w:kern w:val="0"/>
                <w:sz w:val="24"/>
                <w:szCs w:val="24"/>
              </w:rPr>
              <w:t>4．每类特殊食品的专区专柜（货架）应分别设立提示牌，醒目注明“婴幼儿配方食品销售专区（专柜）”“特殊医学用途配方食品销售专区（专柜）”字样，提示牌为绿底白字，字体为黑体。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005" w:hRule="atLeast"/>
          <w:jc w:val="center"/>
        </w:trPr>
        <w:tc>
          <w:tcPr>
            <w:tcW w:w="568" w:type="dxa"/>
            <w:vMerge w:val="continue"/>
            <w:vAlign w:val="center"/>
          </w:tcPr>
          <w:p>
            <w:pPr>
              <w:overflowPunct w:val="0"/>
              <w:adjustRightInd w:val="0"/>
              <w:snapToGrid w:val="0"/>
              <w:jc w:val="center"/>
              <w:rPr>
                <w:kern w:val="0"/>
                <w:sz w:val="24"/>
                <w:szCs w:val="24"/>
              </w:rPr>
            </w:pPr>
          </w:p>
        </w:tc>
        <w:tc>
          <w:tcPr>
            <w:tcW w:w="1191" w:type="dxa"/>
            <w:vMerge w:val="continue"/>
            <w:vAlign w:val="center"/>
          </w:tcPr>
          <w:p>
            <w:pPr>
              <w:overflowPunct w:val="0"/>
              <w:adjustRightInd w:val="0"/>
              <w:snapToGrid w:val="0"/>
              <w:rPr>
                <w:kern w:val="0"/>
                <w:sz w:val="24"/>
                <w:szCs w:val="24"/>
              </w:rPr>
            </w:pPr>
          </w:p>
        </w:tc>
        <w:tc>
          <w:tcPr>
            <w:tcW w:w="1474" w:type="dxa"/>
            <w:vAlign w:val="center"/>
          </w:tcPr>
          <w:p>
            <w:pPr>
              <w:overflowPunct w:val="0"/>
              <w:adjustRightInd w:val="0"/>
              <w:snapToGrid w:val="0"/>
              <w:rPr>
                <w:kern w:val="0"/>
                <w:sz w:val="24"/>
                <w:szCs w:val="24"/>
              </w:rPr>
            </w:pPr>
            <w:r>
              <w:rPr>
                <w:rFonts w:hint="eastAsia"/>
                <w:kern w:val="0"/>
                <w:sz w:val="24"/>
                <w:szCs w:val="24"/>
              </w:rPr>
              <w:t>3.2 标签与说明书</w:t>
            </w:r>
          </w:p>
        </w:tc>
        <w:tc>
          <w:tcPr>
            <w:tcW w:w="4026" w:type="dxa"/>
            <w:vAlign w:val="center"/>
          </w:tcPr>
          <w:p>
            <w:pPr>
              <w:overflowPunct w:val="0"/>
              <w:adjustRightInd w:val="0"/>
              <w:snapToGrid w:val="0"/>
              <w:rPr>
                <w:kern w:val="0"/>
                <w:sz w:val="24"/>
                <w:szCs w:val="24"/>
              </w:rPr>
            </w:pPr>
            <w:r>
              <w:rPr>
                <w:rFonts w:hint="eastAsia"/>
                <w:kern w:val="0"/>
                <w:sz w:val="24"/>
                <w:szCs w:val="24"/>
              </w:rPr>
              <w:t>1．检查销售的婴幼儿配方乳粉和特殊医学用途配方食品标签、说明书是否与注册的标签、说明书一致，不涉及疾病预防、治疗功能。</w:t>
            </w:r>
          </w:p>
        </w:tc>
        <w:tc>
          <w:tcPr>
            <w:tcW w:w="6349" w:type="dxa"/>
            <w:vAlign w:val="center"/>
          </w:tcPr>
          <w:p>
            <w:pPr>
              <w:overflowPunct w:val="0"/>
              <w:adjustRightInd w:val="0"/>
              <w:snapToGrid w:val="0"/>
              <w:rPr>
                <w:kern w:val="0"/>
                <w:sz w:val="24"/>
                <w:szCs w:val="24"/>
              </w:rPr>
            </w:pPr>
            <w:r>
              <w:rPr>
                <w:rFonts w:hint="eastAsia"/>
                <w:kern w:val="0"/>
                <w:sz w:val="24"/>
                <w:szCs w:val="24"/>
              </w:rPr>
              <w:t>1．婴幼儿配方乳粉和特殊医学用途配方食品标签、说明书可登陆国家市场监管总局“特殊食品信息查询平台”查询。</w:t>
            </w:r>
          </w:p>
          <w:p>
            <w:pPr>
              <w:overflowPunct w:val="0"/>
              <w:adjustRightInd w:val="0"/>
              <w:snapToGrid w:val="0"/>
              <w:rPr>
                <w:spacing w:val="-4"/>
                <w:kern w:val="0"/>
                <w:sz w:val="24"/>
                <w:szCs w:val="24"/>
              </w:rPr>
            </w:pPr>
            <w:r>
              <w:rPr>
                <w:rFonts w:hint="eastAsia"/>
                <w:kern w:val="0"/>
                <w:sz w:val="24"/>
                <w:szCs w:val="24"/>
              </w:rPr>
              <w:t>2．婴幼儿配方乳粉和特殊医学用途配方食品的标签内容及格式除符合注册要求外，还应当符合《食品安全国家标准预包装特殊膳食用食品标签》（GB13432）等要求。婴幼儿配</w:t>
            </w:r>
            <w:r>
              <w:rPr>
                <w:rFonts w:hint="eastAsia"/>
                <w:spacing w:val="-4"/>
                <w:kern w:val="0"/>
                <w:sz w:val="24"/>
                <w:szCs w:val="24"/>
              </w:rPr>
              <w:t>方乳粉和特殊医学用途婴儿配方食品标签上不得有婴儿和妇女的形象，不能使用“人乳化”“母乳化”或其它近似术语。</w:t>
            </w:r>
          </w:p>
          <w:p>
            <w:pPr>
              <w:overflowPunct w:val="0"/>
              <w:adjustRightInd w:val="0"/>
              <w:snapToGrid w:val="0"/>
              <w:rPr>
                <w:color w:val="FF0000"/>
                <w:kern w:val="0"/>
                <w:sz w:val="24"/>
                <w:szCs w:val="24"/>
              </w:rPr>
            </w:pPr>
            <w:r>
              <w:rPr>
                <w:rFonts w:hint="eastAsia"/>
                <w:kern w:val="0"/>
                <w:sz w:val="24"/>
                <w:szCs w:val="24"/>
              </w:rPr>
              <w:t>3．进口婴幼儿配方乳粉和特殊医学用途配方食品应当有中文标签，标签应直接印制在最小销售包装上。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1418" w:hRule="atLeast"/>
          <w:jc w:val="center"/>
        </w:trPr>
        <w:tc>
          <w:tcPr>
            <w:tcW w:w="568" w:type="dxa"/>
            <w:vMerge w:val="continue"/>
            <w:vAlign w:val="center"/>
          </w:tcPr>
          <w:p>
            <w:pPr>
              <w:overflowPunct w:val="0"/>
              <w:adjustRightInd w:val="0"/>
              <w:snapToGrid w:val="0"/>
              <w:jc w:val="center"/>
              <w:rPr>
                <w:kern w:val="0"/>
                <w:sz w:val="24"/>
                <w:szCs w:val="24"/>
              </w:rPr>
            </w:pPr>
          </w:p>
        </w:tc>
        <w:tc>
          <w:tcPr>
            <w:tcW w:w="1191" w:type="dxa"/>
            <w:vMerge w:val="continue"/>
            <w:vAlign w:val="center"/>
          </w:tcPr>
          <w:p>
            <w:pPr>
              <w:overflowPunct w:val="0"/>
              <w:adjustRightInd w:val="0"/>
              <w:snapToGrid w:val="0"/>
              <w:rPr>
                <w:kern w:val="0"/>
                <w:sz w:val="24"/>
                <w:szCs w:val="24"/>
              </w:rPr>
            </w:pPr>
          </w:p>
        </w:tc>
        <w:tc>
          <w:tcPr>
            <w:tcW w:w="1474" w:type="dxa"/>
            <w:vAlign w:val="center"/>
          </w:tcPr>
          <w:p>
            <w:pPr>
              <w:overflowPunct w:val="0"/>
              <w:adjustRightInd w:val="0"/>
              <w:snapToGrid w:val="0"/>
              <w:rPr>
                <w:kern w:val="0"/>
                <w:sz w:val="24"/>
                <w:szCs w:val="24"/>
              </w:rPr>
            </w:pPr>
            <w:r>
              <w:rPr>
                <w:rFonts w:hint="eastAsia"/>
                <w:kern w:val="0"/>
                <w:sz w:val="24"/>
                <w:szCs w:val="24"/>
              </w:rPr>
              <w:t>3.3 消费提示</w:t>
            </w:r>
          </w:p>
        </w:tc>
        <w:tc>
          <w:tcPr>
            <w:tcW w:w="4026" w:type="dxa"/>
            <w:vAlign w:val="center"/>
          </w:tcPr>
          <w:p>
            <w:pPr>
              <w:overflowPunct w:val="0"/>
              <w:adjustRightInd w:val="0"/>
              <w:snapToGrid w:val="0"/>
              <w:rPr>
                <w:kern w:val="0"/>
                <w:sz w:val="24"/>
                <w:szCs w:val="24"/>
              </w:rPr>
            </w:pPr>
            <w:r>
              <w:rPr>
                <w:rFonts w:hint="eastAsia"/>
                <w:kern w:val="0"/>
                <w:sz w:val="24"/>
                <w:szCs w:val="24"/>
              </w:rPr>
              <w:t>检查销售婴幼儿配方乳粉的专区（专柜），对距离保质期不足1个月的婴幼儿配方乳粉是否采取了醒目提示或者提前下架等处理措施。</w:t>
            </w:r>
          </w:p>
        </w:tc>
        <w:tc>
          <w:tcPr>
            <w:tcW w:w="6349" w:type="dxa"/>
            <w:vAlign w:val="center"/>
          </w:tcPr>
          <w:p>
            <w:pPr>
              <w:overflowPunct w:val="0"/>
              <w:adjustRightInd w:val="0"/>
              <w:snapToGrid w:val="0"/>
              <w:rPr>
                <w:kern w:val="0"/>
                <w:sz w:val="24"/>
                <w:szCs w:val="24"/>
              </w:rPr>
            </w:pPr>
            <w:r>
              <w:rPr>
                <w:rFonts w:hint="eastAsia"/>
                <w:kern w:val="0"/>
                <w:sz w:val="24"/>
                <w:szCs w:val="24"/>
              </w:rPr>
              <w:t>《国务院办公厅转发食品药品监管总局等部门关于进一步加强婴幼儿配方乳粉质量安全工作意见的通知》（国办发〔2013〕57号）规定，对距保质期不足1个月的婴幼儿配方乳粉采取醒目提示或者提前下架等处理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8051" w:hRule="atLeast"/>
          <w:jc w:val="center"/>
        </w:trPr>
        <w:tc>
          <w:tcPr>
            <w:tcW w:w="568" w:type="dxa"/>
            <w:vAlign w:val="center"/>
          </w:tcPr>
          <w:p>
            <w:pPr>
              <w:overflowPunct w:val="0"/>
              <w:adjustRightInd w:val="0"/>
              <w:snapToGrid w:val="0"/>
              <w:jc w:val="center"/>
              <w:rPr>
                <w:kern w:val="0"/>
                <w:sz w:val="24"/>
                <w:szCs w:val="24"/>
              </w:rPr>
            </w:pPr>
            <w:r>
              <w:rPr>
                <w:rFonts w:hint="eastAsia"/>
                <w:kern w:val="0"/>
                <w:sz w:val="24"/>
                <w:szCs w:val="24"/>
              </w:rPr>
              <w:t>4</w:t>
            </w:r>
          </w:p>
        </w:tc>
        <w:tc>
          <w:tcPr>
            <w:tcW w:w="1191" w:type="dxa"/>
            <w:vAlign w:val="center"/>
          </w:tcPr>
          <w:p>
            <w:pPr>
              <w:overflowPunct w:val="0"/>
              <w:adjustRightInd w:val="0"/>
              <w:snapToGrid w:val="0"/>
              <w:rPr>
                <w:kern w:val="0"/>
                <w:sz w:val="24"/>
                <w:szCs w:val="24"/>
              </w:rPr>
            </w:pPr>
            <w:r>
              <w:rPr>
                <w:rFonts w:hint="eastAsia"/>
                <w:kern w:val="0"/>
                <w:sz w:val="24"/>
                <w:szCs w:val="24"/>
              </w:rPr>
              <w:t>营销宣传</w:t>
            </w:r>
          </w:p>
        </w:tc>
        <w:tc>
          <w:tcPr>
            <w:tcW w:w="1474" w:type="dxa"/>
            <w:vAlign w:val="center"/>
          </w:tcPr>
          <w:p>
            <w:pPr>
              <w:overflowPunct w:val="0"/>
              <w:adjustRightInd w:val="0"/>
              <w:snapToGrid w:val="0"/>
              <w:rPr>
                <w:kern w:val="0"/>
                <w:sz w:val="24"/>
                <w:szCs w:val="24"/>
              </w:rPr>
            </w:pPr>
            <w:r>
              <w:rPr>
                <w:rFonts w:hint="eastAsia"/>
                <w:kern w:val="0"/>
                <w:sz w:val="24"/>
                <w:szCs w:val="24"/>
              </w:rPr>
              <w:t>4.1 经营场所的营销宣传</w:t>
            </w:r>
          </w:p>
        </w:tc>
        <w:tc>
          <w:tcPr>
            <w:tcW w:w="4026" w:type="dxa"/>
            <w:vAlign w:val="center"/>
          </w:tcPr>
          <w:p>
            <w:pPr>
              <w:overflowPunct w:val="0"/>
              <w:adjustRightInd w:val="0"/>
              <w:snapToGrid w:val="0"/>
              <w:rPr>
                <w:kern w:val="0"/>
                <w:sz w:val="24"/>
                <w:szCs w:val="24"/>
              </w:rPr>
            </w:pPr>
            <w:r>
              <w:rPr>
                <w:rFonts w:hint="eastAsia"/>
                <w:kern w:val="0"/>
                <w:sz w:val="24"/>
                <w:szCs w:val="24"/>
              </w:rPr>
              <w:t>1．检查经营场所的特殊医学用途配方食品广告是否与审查批准的一致。</w:t>
            </w:r>
          </w:p>
          <w:p>
            <w:pPr>
              <w:overflowPunct w:val="0"/>
              <w:adjustRightInd w:val="0"/>
              <w:snapToGrid w:val="0"/>
              <w:rPr>
                <w:kern w:val="0"/>
                <w:sz w:val="24"/>
                <w:szCs w:val="24"/>
              </w:rPr>
            </w:pPr>
            <w:r>
              <w:rPr>
                <w:rFonts w:hint="eastAsia"/>
                <w:kern w:val="0"/>
                <w:sz w:val="24"/>
                <w:szCs w:val="24"/>
              </w:rPr>
              <w:t>2．检查经营场所的宣传材料是否有虚假夸大宣传的内容，销售人员是否有虚假夸大宣传的行为。</w:t>
            </w:r>
          </w:p>
          <w:p>
            <w:pPr>
              <w:overflowPunct w:val="0"/>
              <w:adjustRightInd w:val="0"/>
              <w:snapToGrid w:val="0"/>
              <w:rPr>
                <w:kern w:val="0"/>
                <w:sz w:val="24"/>
                <w:szCs w:val="24"/>
              </w:rPr>
            </w:pPr>
            <w:r>
              <w:rPr>
                <w:rFonts w:hint="eastAsia"/>
                <w:kern w:val="0"/>
                <w:sz w:val="24"/>
                <w:szCs w:val="24"/>
              </w:rPr>
              <w:t>3．是否有0—6个月婴儿的婴幼儿配方食品和特殊医学用途婴儿配方食品违规推销宣传的材料。</w:t>
            </w:r>
          </w:p>
        </w:tc>
        <w:tc>
          <w:tcPr>
            <w:tcW w:w="6349" w:type="dxa"/>
            <w:vAlign w:val="center"/>
          </w:tcPr>
          <w:p>
            <w:pPr>
              <w:overflowPunct w:val="0"/>
              <w:adjustRightInd w:val="0"/>
              <w:snapToGrid w:val="0"/>
              <w:rPr>
                <w:kern w:val="0"/>
                <w:sz w:val="24"/>
                <w:szCs w:val="24"/>
              </w:rPr>
            </w:pPr>
            <w:r>
              <w:rPr>
                <w:rFonts w:hint="eastAsia"/>
                <w:kern w:val="0"/>
                <w:sz w:val="24"/>
                <w:szCs w:val="24"/>
              </w:rPr>
              <w:t>1．特殊医学用途配方食品的广告内容应当以审查批准的内容为准。</w:t>
            </w:r>
          </w:p>
          <w:p>
            <w:pPr>
              <w:overflowPunct w:val="0"/>
              <w:adjustRightInd w:val="0"/>
              <w:snapToGrid w:val="0"/>
              <w:rPr>
                <w:spacing w:val="-4"/>
                <w:kern w:val="0"/>
                <w:sz w:val="24"/>
                <w:szCs w:val="24"/>
              </w:rPr>
            </w:pPr>
            <w:r>
              <w:rPr>
                <w:rFonts w:hint="eastAsia"/>
                <w:kern w:val="0"/>
                <w:sz w:val="24"/>
                <w:szCs w:val="24"/>
              </w:rPr>
              <w:t>2．</w:t>
            </w:r>
            <w:r>
              <w:rPr>
                <w:rFonts w:hint="eastAsia"/>
                <w:spacing w:val="-4"/>
                <w:kern w:val="0"/>
                <w:sz w:val="24"/>
                <w:szCs w:val="24"/>
              </w:rPr>
              <w:t>婴幼儿配方乳粉广告不得声称全部或部分替代母乳，0－12个月龄婴儿食用的婴儿配方乳制品不得进行广告宣传。</w:t>
            </w:r>
          </w:p>
          <w:p>
            <w:pPr>
              <w:overflowPunct w:val="0"/>
              <w:adjustRightInd w:val="0"/>
              <w:snapToGrid w:val="0"/>
              <w:rPr>
                <w:kern w:val="0"/>
                <w:sz w:val="24"/>
                <w:szCs w:val="24"/>
              </w:rPr>
            </w:pPr>
            <w:r>
              <w:rPr>
                <w:rFonts w:hint="eastAsia"/>
                <w:kern w:val="0"/>
                <w:sz w:val="24"/>
                <w:szCs w:val="24"/>
              </w:rPr>
              <w:t>3．不得对0—6个月婴儿的婴幼儿配方食品和特殊医学用途婴儿配方食品违规推销宣传。</w:t>
            </w:r>
          </w:p>
          <w:p>
            <w:pPr>
              <w:overflowPunct w:val="0"/>
              <w:adjustRightInd w:val="0"/>
              <w:snapToGrid w:val="0"/>
              <w:rPr>
                <w:kern w:val="0"/>
                <w:sz w:val="24"/>
                <w:szCs w:val="24"/>
              </w:rPr>
            </w:pPr>
            <w:r>
              <w:rPr>
                <w:rFonts w:hint="eastAsia"/>
                <w:kern w:val="0"/>
                <w:sz w:val="24"/>
                <w:szCs w:val="24"/>
              </w:rPr>
              <w:t>4．特殊医学用途配方食品中的特定全营养配方食品广告按照处方药广告管理，只能在国务院卫生行政部门和国务院药品监督管理部门共同指定的医学、药学专业刊物上发布，不得使用与其名称相同的商标、企业字号在医学、药学专业刊物以外的媒介变相发布广告，也不得利用该商标、企业字号为各种活动冠名进行广告宣传。其他类别的特殊医学用途配方食品广告按照非处方药广告管理。</w:t>
            </w:r>
          </w:p>
          <w:p>
            <w:pPr>
              <w:overflowPunct w:val="0"/>
              <w:adjustRightInd w:val="0"/>
              <w:snapToGrid w:val="0"/>
              <w:rPr>
                <w:kern w:val="0"/>
                <w:sz w:val="24"/>
                <w:szCs w:val="24"/>
              </w:rPr>
            </w:pPr>
            <w:r>
              <w:rPr>
                <w:rFonts w:hint="eastAsia"/>
                <w:kern w:val="0"/>
                <w:sz w:val="24"/>
                <w:szCs w:val="24"/>
              </w:rPr>
              <w:t>5．特殊医学用途配方食品广告应当显著标明适用人群、标明“不适用于非目标人群使用”“请在医生或者临床营养师指导下使用”。不得含有下列内容：表示功效、安全性的断言或者保证；说明治愈率或者有效率；与其他药品、医疗器械的功效和安全性或者其他医疗机构比较；利用广告代言人作推荐、证明；法律、行政法规规定禁止的其他内容。</w:t>
            </w:r>
          </w:p>
          <w:p>
            <w:pPr>
              <w:overflowPunct w:val="0"/>
              <w:adjustRightInd w:val="0"/>
              <w:snapToGrid w:val="0"/>
              <w:rPr>
                <w:kern w:val="0"/>
                <w:sz w:val="24"/>
                <w:szCs w:val="24"/>
              </w:rPr>
            </w:pPr>
            <w:r>
              <w:rPr>
                <w:rFonts w:hint="eastAsia"/>
                <w:kern w:val="0"/>
                <w:sz w:val="24"/>
                <w:szCs w:val="24"/>
              </w:rPr>
              <w:t>6．不得通过健康咨询、宣传手册等任何方式进行虚假夸大宣传。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3207" w:hRule="atLeast"/>
          <w:jc w:val="center"/>
        </w:trPr>
        <w:tc>
          <w:tcPr>
            <w:tcW w:w="568" w:type="dxa"/>
            <w:vAlign w:val="center"/>
          </w:tcPr>
          <w:p>
            <w:pPr>
              <w:overflowPunct w:val="0"/>
              <w:adjustRightInd w:val="0"/>
              <w:snapToGrid w:val="0"/>
              <w:jc w:val="center"/>
              <w:rPr>
                <w:kern w:val="0"/>
                <w:sz w:val="24"/>
                <w:szCs w:val="24"/>
              </w:rPr>
            </w:pPr>
            <w:r>
              <w:rPr>
                <w:rFonts w:hint="eastAsia"/>
                <w:kern w:val="0"/>
                <w:sz w:val="24"/>
                <w:szCs w:val="24"/>
              </w:rPr>
              <w:t>5</w:t>
            </w:r>
          </w:p>
        </w:tc>
        <w:tc>
          <w:tcPr>
            <w:tcW w:w="1191" w:type="dxa"/>
            <w:vAlign w:val="center"/>
          </w:tcPr>
          <w:p>
            <w:pPr>
              <w:overflowPunct w:val="0"/>
              <w:adjustRightInd w:val="0"/>
              <w:snapToGrid w:val="0"/>
              <w:rPr>
                <w:kern w:val="0"/>
                <w:sz w:val="24"/>
                <w:szCs w:val="24"/>
              </w:rPr>
            </w:pPr>
            <w:r>
              <w:rPr>
                <w:rFonts w:hint="eastAsia"/>
                <w:kern w:val="0"/>
                <w:sz w:val="24"/>
                <w:szCs w:val="24"/>
              </w:rPr>
              <w:t>网络销售</w:t>
            </w:r>
          </w:p>
        </w:tc>
        <w:tc>
          <w:tcPr>
            <w:tcW w:w="1474" w:type="dxa"/>
            <w:vAlign w:val="center"/>
          </w:tcPr>
          <w:p>
            <w:pPr>
              <w:overflowPunct w:val="0"/>
              <w:adjustRightInd w:val="0"/>
              <w:snapToGrid w:val="0"/>
              <w:rPr>
                <w:kern w:val="0"/>
                <w:sz w:val="24"/>
                <w:szCs w:val="24"/>
              </w:rPr>
            </w:pPr>
            <w:r>
              <w:rPr>
                <w:rFonts w:hint="eastAsia"/>
                <w:kern w:val="0"/>
                <w:sz w:val="24"/>
                <w:szCs w:val="24"/>
              </w:rPr>
              <w:t>5.1 婴幼儿配方乳粉和特殊医学用途配方食品销售页面公示内容</w:t>
            </w:r>
          </w:p>
        </w:tc>
        <w:tc>
          <w:tcPr>
            <w:tcW w:w="4026" w:type="dxa"/>
            <w:vAlign w:val="center"/>
          </w:tcPr>
          <w:p>
            <w:pPr>
              <w:overflowPunct w:val="0"/>
              <w:adjustRightInd w:val="0"/>
              <w:snapToGrid w:val="0"/>
              <w:rPr>
                <w:kern w:val="0"/>
                <w:sz w:val="24"/>
                <w:szCs w:val="24"/>
              </w:rPr>
            </w:pPr>
            <w:r>
              <w:rPr>
                <w:rFonts w:hint="eastAsia"/>
                <w:kern w:val="0"/>
                <w:sz w:val="24"/>
                <w:szCs w:val="24"/>
              </w:rPr>
              <w:t>1．检查网上公示的食品生产经营许可证（类别含特殊食品）、营业执照、产品（配方）注册证书等文件是否齐全、是否清晰易辨识、是否真实并在有效期内、品种信息与实际销售产品是否相符。</w:t>
            </w:r>
          </w:p>
          <w:p>
            <w:pPr>
              <w:overflowPunct w:val="0"/>
              <w:adjustRightInd w:val="0"/>
              <w:snapToGrid w:val="0"/>
              <w:rPr>
                <w:kern w:val="0"/>
                <w:sz w:val="24"/>
                <w:szCs w:val="24"/>
              </w:rPr>
            </w:pPr>
            <w:r>
              <w:rPr>
                <w:rFonts w:hint="eastAsia"/>
                <w:kern w:val="0"/>
                <w:sz w:val="24"/>
                <w:szCs w:val="24"/>
              </w:rPr>
              <w:t>2．检查网上公示的特殊医学用途配方食品广告审查批准文号是否与审查批准的一致。</w:t>
            </w:r>
          </w:p>
        </w:tc>
        <w:tc>
          <w:tcPr>
            <w:tcW w:w="6349" w:type="dxa"/>
            <w:vAlign w:val="center"/>
          </w:tcPr>
          <w:p>
            <w:pPr>
              <w:overflowPunct w:val="0"/>
              <w:adjustRightInd w:val="0"/>
              <w:snapToGrid w:val="0"/>
              <w:rPr>
                <w:kern w:val="0"/>
                <w:sz w:val="24"/>
                <w:szCs w:val="24"/>
              </w:rPr>
            </w:pPr>
            <w:r>
              <w:rPr>
                <w:rFonts w:hint="eastAsia"/>
                <w:kern w:val="0"/>
                <w:sz w:val="24"/>
                <w:szCs w:val="24"/>
              </w:rPr>
              <w:t>1．通过第三方平台交易的婴幼儿配方乳粉和特殊医学用途配方食品生产经营者应当在其销售主页面显著公示其食品生产、经营许可证（或备案）、产品（配方）注册证书，</w:t>
            </w:r>
          </w:p>
          <w:p>
            <w:pPr>
              <w:overflowPunct w:val="0"/>
              <w:adjustRightInd w:val="0"/>
              <w:snapToGrid w:val="0"/>
              <w:rPr>
                <w:kern w:val="0"/>
                <w:sz w:val="24"/>
                <w:szCs w:val="24"/>
              </w:rPr>
            </w:pPr>
            <w:r>
              <w:rPr>
                <w:rFonts w:hint="eastAsia"/>
                <w:kern w:val="0"/>
                <w:sz w:val="24"/>
                <w:szCs w:val="24"/>
              </w:rPr>
              <w:t>2．通过自建网站交易的婴幼儿配方乳粉和特殊医学用途配方食品生产经营者还应当在其网站首页显著位置公示其营业执照。</w:t>
            </w:r>
          </w:p>
          <w:p>
            <w:pPr>
              <w:overflowPunct w:val="0"/>
              <w:adjustRightInd w:val="0"/>
              <w:snapToGrid w:val="0"/>
              <w:rPr>
                <w:kern w:val="0"/>
                <w:sz w:val="24"/>
                <w:szCs w:val="24"/>
              </w:rPr>
            </w:pPr>
            <w:r>
              <w:rPr>
                <w:rFonts w:hint="eastAsia"/>
                <w:kern w:val="0"/>
                <w:sz w:val="24"/>
                <w:szCs w:val="24"/>
              </w:rPr>
              <w:t>3．特殊医学用途配方食品广告应当显著标明广告批准文号。</w:t>
            </w:r>
          </w:p>
        </w:tc>
      </w:tr>
    </w:tbl>
    <w:p/>
    <w:p>
      <w:pPr>
        <w:widowControl/>
        <w:jc w:val="left"/>
      </w:pPr>
      <w:r>
        <w:br w:type="page"/>
      </w:r>
    </w:p>
    <w:p>
      <w:pPr>
        <w:tabs>
          <w:tab w:val="left" w:pos="790"/>
        </w:tabs>
        <w:overflowPunct w:val="0"/>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上海市婴幼儿配方乳粉和特殊医学用途配方食品</w:t>
      </w:r>
    </w:p>
    <w:p>
      <w:pPr>
        <w:tabs>
          <w:tab w:val="left" w:pos="790"/>
        </w:tabs>
        <w:overflowPunct w:val="0"/>
        <w:adjustRightInd w:val="0"/>
        <w:snapToGrid w:val="0"/>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销售安全监督检查要点表（试行）</w:t>
      </w:r>
    </w:p>
    <w:p>
      <w:pPr>
        <w:overflowPunct w:val="0"/>
        <w:adjustRightInd w:val="0"/>
        <w:snapToGrid w:val="0"/>
        <w:spacing w:line="336" w:lineRule="auto"/>
        <w:rPr>
          <w:kern w:val="0"/>
          <w:szCs w:val="30"/>
        </w:rPr>
      </w:pPr>
    </w:p>
    <w:p>
      <w:pPr>
        <w:overflowPunct w:val="0"/>
        <w:adjustRightInd w:val="0"/>
        <w:snapToGrid w:val="0"/>
        <w:spacing w:line="336" w:lineRule="auto"/>
        <w:rPr>
          <w:kern w:val="0"/>
          <w:szCs w:val="30"/>
        </w:rPr>
      </w:pPr>
      <w:r>
        <w:rPr>
          <w:rFonts w:hint="eastAsia"/>
          <w:kern w:val="0"/>
          <w:szCs w:val="30"/>
        </w:rPr>
        <w:t>（婴幼儿配方乳粉和特殊医学用途配方食品检查项目：重点项5项，一般项9项，共14项）</w:t>
      </w:r>
    </w:p>
    <w:tbl>
      <w:tblPr>
        <w:tblStyle w:val="5"/>
        <w:tblW w:w="13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134"/>
        <w:gridCol w:w="7767"/>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1588" w:type="dxa"/>
            <w:vAlign w:val="center"/>
          </w:tcPr>
          <w:p>
            <w:pPr>
              <w:overflowPunct w:val="0"/>
              <w:adjustRightInd w:val="0"/>
              <w:snapToGrid w:val="0"/>
              <w:jc w:val="center"/>
              <w:rPr>
                <w:rFonts w:ascii="黑体" w:hAnsi="黑体" w:eastAsia="黑体"/>
                <w:kern w:val="0"/>
                <w:sz w:val="24"/>
                <w:szCs w:val="24"/>
              </w:rPr>
            </w:pPr>
            <w:r>
              <w:rPr>
                <w:rFonts w:hint="eastAsia" w:ascii="黑体" w:hAnsi="黑体" w:eastAsia="黑体"/>
                <w:kern w:val="0"/>
                <w:sz w:val="24"/>
                <w:szCs w:val="24"/>
              </w:rPr>
              <w:t>检查项目</w:t>
            </w:r>
          </w:p>
        </w:tc>
        <w:tc>
          <w:tcPr>
            <w:tcW w:w="1134" w:type="dxa"/>
            <w:vAlign w:val="center"/>
          </w:tcPr>
          <w:p>
            <w:pPr>
              <w:overflowPunct w:val="0"/>
              <w:adjustRightInd w:val="0"/>
              <w:snapToGrid w:val="0"/>
              <w:jc w:val="center"/>
              <w:rPr>
                <w:rFonts w:ascii="黑体" w:hAnsi="黑体" w:eastAsia="黑体"/>
                <w:kern w:val="0"/>
                <w:sz w:val="24"/>
                <w:szCs w:val="24"/>
              </w:rPr>
            </w:pPr>
            <w:r>
              <w:rPr>
                <w:rFonts w:hint="eastAsia" w:ascii="黑体" w:hAnsi="黑体" w:eastAsia="黑体"/>
                <w:kern w:val="0"/>
                <w:sz w:val="24"/>
                <w:szCs w:val="24"/>
              </w:rPr>
              <w:t>序号</w:t>
            </w:r>
          </w:p>
        </w:tc>
        <w:tc>
          <w:tcPr>
            <w:tcW w:w="7768" w:type="dxa"/>
            <w:vAlign w:val="center"/>
          </w:tcPr>
          <w:p>
            <w:pPr>
              <w:overflowPunct w:val="0"/>
              <w:adjustRightInd w:val="0"/>
              <w:snapToGrid w:val="0"/>
              <w:jc w:val="center"/>
              <w:rPr>
                <w:rFonts w:ascii="黑体" w:hAnsi="黑体" w:eastAsia="黑体"/>
                <w:kern w:val="0"/>
                <w:sz w:val="24"/>
                <w:szCs w:val="24"/>
              </w:rPr>
            </w:pPr>
            <w:r>
              <w:rPr>
                <w:rFonts w:hint="eastAsia" w:ascii="黑体" w:hAnsi="黑体" w:eastAsia="黑体"/>
                <w:kern w:val="0"/>
                <w:sz w:val="24"/>
                <w:szCs w:val="24"/>
              </w:rPr>
              <w:t>检查内容</w:t>
            </w:r>
          </w:p>
        </w:tc>
        <w:tc>
          <w:tcPr>
            <w:tcW w:w="1701" w:type="dxa"/>
            <w:vAlign w:val="center"/>
          </w:tcPr>
          <w:p>
            <w:pPr>
              <w:overflowPunct w:val="0"/>
              <w:adjustRightInd w:val="0"/>
              <w:snapToGrid w:val="0"/>
              <w:jc w:val="center"/>
              <w:rPr>
                <w:rFonts w:ascii="黑体" w:hAnsi="黑体" w:eastAsia="黑体"/>
                <w:kern w:val="0"/>
                <w:sz w:val="24"/>
                <w:szCs w:val="24"/>
              </w:rPr>
            </w:pPr>
            <w:r>
              <w:rPr>
                <w:rFonts w:hint="eastAsia" w:ascii="黑体" w:hAnsi="黑体" w:eastAsia="黑体"/>
                <w:kern w:val="0"/>
                <w:sz w:val="24"/>
                <w:szCs w:val="24"/>
              </w:rPr>
              <w:t>评价</w:t>
            </w:r>
          </w:p>
        </w:tc>
        <w:tc>
          <w:tcPr>
            <w:tcW w:w="1418" w:type="dxa"/>
            <w:vAlign w:val="center"/>
          </w:tcPr>
          <w:p>
            <w:pPr>
              <w:overflowPunct w:val="0"/>
              <w:adjustRightInd w:val="0"/>
              <w:snapToGrid w:val="0"/>
              <w:jc w:val="center"/>
              <w:rPr>
                <w:rFonts w:ascii="黑体" w:hAnsi="黑体" w:eastAsia="黑体"/>
                <w:kern w:val="0"/>
                <w:sz w:val="24"/>
                <w:szCs w:val="24"/>
              </w:rPr>
            </w:pPr>
            <w:r>
              <w:rPr>
                <w:rFonts w:hint="eastAsia" w:ascii="黑体" w:hAnsi="黑体" w:eastAsia="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588" w:type="dxa"/>
            <w:vAlign w:val="center"/>
          </w:tcPr>
          <w:p>
            <w:pPr>
              <w:overflowPunct w:val="0"/>
              <w:adjustRightInd w:val="0"/>
              <w:snapToGrid w:val="0"/>
              <w:jc w:val="center"/>
              <w:rPr>
                <w:kern w:val="0"/>
                <w:sz w:val="24"/>
                <w:szCs w:val="24"/>
              </w:rPr>
            </w:pPr>
            <w:r>
              <w:rPr>
                <w:rFonts w:hint="eastAsia"/>
                <w:kern w:val="0"/>
                <w:sz w:val="24"/>
                <w:szCs w:val="24"/>
              </w:rPr>
              <w:t>1 特殊食品经营许可（或备案）</w:t>
            </w:r>
          </w:p>
        </w:tc>
        <w:tc>
          <w:tcPr>
            <w:tcW w:w="1134" w:type="dxa"/>
            <w:vAlign w:val="center"/>
          </w:tcPr>
          <w:p>
            <w:pPr>
              <w:overflowPunct w:val="0"/>
              <w:adjustRightInd w:val="0"/>
              <w:snapToGrid w:val="0"/>
              <w:jc w:val="center"/>
              <w:rPr>
                <w:kern w:val="0"/>
                <w:sz w:val="24"/>
                <w:szCs w:val="24"/>
              </w:rPr>
            </w:pPr>
            <w:r>
              <w:rPr>
                <w:rFonts w:hint="eastAsia"/>
                <w:kern w:val="0"/>
                <w:sz w:val="24"/>
                <w:szCs w:val="24"/>
              </w:rPr>
              <w:t>1.1</w:t>
            </w:r>
          </w:p>
        </w:tc>
        <w:tc>
          <w:tcPr>
            <w:tcW w:w="7768" w:type="dxa"/>
            <w:vAlign w:val="center"/>
          </w:tcPr>
          <w:p>
            <w:pPr>
              <w:overflowPunct w:val="0"/>
              <w:adjustRightInd w:val="0"/>
              <w:snapToGrid w:val="0"/>
              <w:rPr>
                <w:kern w:val="0"/>
                <w:sz w:val="24"/>
                <w:szCs w:val="24"/>
              </w:rPr>
            </w:pPr>
            <w:r>
              <w:rPr>
                <w:rFonts w:hint="eastAsia"/>
                <w:kern w:val="0"/>
                <w:sz w:val="24"/>
                <w:szCs w:val="24"/>
              </w:rPr>
              <w:t>现场销售的婴幼儿配方乳粉和特殊医学用途配方食品类别与许可证载明（或备案）的类别一致。</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588" w:type="dxa"/>
            <w:vMerge w:val="restart"/>
            <w:vAlign w:val="center"/>
          </w:tcPr>
          <w:p>
            <w:pPr>
              <w:overflowPunct w:val="0"/>
              <w:adjustRightInd w:val="0"/>
              <w:snapToGrid w:val="0"/>
              <w:jc w:val="center"/>
              <w:rPr>
                <w:kern w:val="0"/>
                <w:sz w:val="24"/>
                <w:szCs w:val="24"/>
              </w:rPr>
            </w:pPr>
            <w:r>
              <w:rPr>
                <w:rFonts w:hint="eastAsia"/>
                <w:kern w:val="0"/>
                <w:sz w:val="24"/>
                <w:szCs w:val="24"/>
              </w:rPr>
              <w:t>2 进货查验和追溯管理</w:t>
            </w:r>
          </w:p>
        </w:tc>
        <w:tc>
          <w:tcPr>
            <w:tcW w:w="1134" w:type="dxa"/>
            <w:vAlign w:val="center"/>
          </w:tcPr>
          <w:p>
            <w:pPr>
              <w:overflowPunct w:val="0"/>
              <w:adjustRightInd w:val="0"/>
              <w:snapToGrid w:val="0"/>
              <w:jc w:val="center"/>
              <w:rPr>
                <w:kern w:val="0"/>
                <w:sz w:val="24"/>
                <w:szCs w:val="24"/>
              </w:rPr>
            </w:pPr>
            <w:r>
              <w:rPr>
                <w:rFonts w:hint="eastAsia"/>
                <w:kern w:val="0"/>
                <w:sz w:val="24"/>
                <w:szCs w:val="24"/>
              </w:rPr>
              <w:t>2.1*</w:t>
            </w:r>
          </w:p>
        </w:tc>
        <w:tc>
          <w:tcPr>
            <w:tcW w:w="7768" w:type="dxa"/>
            <w:vAlign w:val="center"/>
          </w:tcPr>
          <w:p>
            <w:pPr>
              <w:overflowPunct w:val="0"/>
              <w:adjustRightInd w:val="0"/>
              <w:snapToGrid w:val="0"/>
              <w:rPr>
                <w:kern w:val="0"/>
                <w:sz w:val="24"/>
                <w:szCs w:val="24"/>
              </w:rPr>
            </w:pPr>
            <w:r>
              <w:rPr>
                <w:rFonts w:hint="eastAsia"/>
                <w:kern w:val="0"/>
                <w:sz w:val="24"/>
                <w:szCs w:val="24"/>
              </w:rPr>
              <w:t>查验并留存婴幼儿配方乳粉和特殊医学用途配方食品供货者生产、经营许可证、产品（配方）注册证书等证明；产品（配方）注册证书与实际销售产品相符。</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588" w:type="dxa"/>
            <w:vMerge w:val="continue"/>
            <w:vAlign w:val="center"/>
          </w:tcPr>
          <w:p>
            <w:pPr>
              <w:overflowPunct w:val="0"/>
              <w:adjustRightInd w:val="0"/>
              <w:snapToGrid w:val="0"/>
              <w:jc w:val="center"/>
              <w:rPr>
                <w:kern w:val="0"/>
                <w:sz w:val="24"/>
                <w:szCs w:val="24"/>
              </w:rPr>
            </w:pPr>
          </w:p>
        </w:tc>
        <w:tc>
          <w:tcPr>
            <w:tcW w:w="1134" w:type="dxa"/>
            <w:vAlign w:val="center"/>
          </w:tcPr>
          <w:p>
            <w:pPr>
              <w:overflowPunct w:val="0"/>
              <w:adjustRightInd w:val="0"/>
              <w:snapToGrid w:val="0"/>
              <w:jc w:val="center"/>
              <w:rPr>
                <w:kern w:val="0"/>
                <w:sz w:val="24"/>
                <w:szCs w:val="24"/>
              </w:rPr>
            </w:pPr>
            <w:r>
              <w:rPr>
                <w:rFonts w:hint="eastAsia"/>
                <w:kern w:val="0"/>
                <w:sz w:val="24"/>
                <w:szCs w:val="24"/>
              </w:rPr>
              <w:t>2.2</w:t>
            </w:r>
          </w:p>
        </w:tc>
        <w:tc>
          <w:tcPr>
            <w:tcW w:w="7768" w:type="dxa"/>
            <w:vAlign w:val="center"/>
          </w:tcPr>
          <w:p>
            <w:pPr>
              <w:overflowPunct w:val="0"/>
              <w:adjustRightInd w:val="0"/>
              <w:snapToGrid w:val="0"/>
              <w:rPr>
                <w:kern w:val="0"/>
                <w:sz w:val="24"/>
                <w:szCs w:val="24"/>
              </w:rPr>
            </w:pPr>
            <w:r>
              <w:rPr>
                <w:rFonts w:hint="eastAsia"/>
                <w:kern w:val="0"/>
                <w:sz w:val="24"/>
                <w:szCs w:val="24"/>
              </w:rPr>
              <w:t>查验并留存对应批次产品出厂检验合格证明（国产产品）或检验检疫证明（进口产品）。</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588" w:type="dxa"/>
            <w:vMerge w:val="continue"/>
            <w:vAlign w:val="center"/>
          </w:tcPr>
          <w:p>
            <w:pPr>
              <w:overflowPunct w:val="0"/>
              <w:adjustRightInd w:val="0"/>
              <w:snapToGrid w:val="0"/>
              <w:jc w:val="center"/>
              <w:rPr>
                <w:kern w:val="0"/>
                <w:sz w:val="24"/>
                <w:szCs w:val="24"/>
              </w:rPr>
            </w:pPr>
          </w:p>
        </w:tc>
        <w:tc>
          <w:tcPr>
            <w:tcW w:w="1134" w:type="dxa"/>
            <w:vAlign w:val="center"/>
          </w:tcPr>
          <w:p>
            <w:pPr>
              <w:overflowPunct w:val="0"/>
              <w:adjustRightInd w:val="0"/>
              <w:snapToGrid w:val="0"/>
              <w:jc w:val="center"/>
              <w:rPr>
                <w:kern w:val="0"/>
                <w:sz w:val="24"/>
                <w:szCs w:val="24"/>
              </w:rPr>
            </w:pPr>
            <w:r>
              <w:rPr>
                <w:rFonts w:hint="eastAsia"/>
                <w:kern w:val="0"/>
                <w:sz w:val="24"/>
                <w:szCs w:val="24"/>
              </w:rPr>
              <w:t>2.3</w:t>
            </w:r>
          </w:p>
        </w:tc>
        <w:tc>
          <w:tcPr>
            <w:tcW w:w="7768" w:type="dxa"/>
            <w:vAlign w:val="center"/>
          </w:tcPr>
          <w:p>
            <w:pPr>
              <w:overflowPunct w:val="0"/>
              <w:adjustRightInd w:val="0"/>
              <w:snapToGrid w:val="0"/>
              <w:rPr>
                <w:kern w:val="0"/>
                <w:sz w:val="24"/>
                <w:szCs w:val="24"/>
              </w:rPr>
            </w:pPr>
            <w:r>
              <w:rPr>
                <w:rFonts w:hint="eastAsia"/>
                <w:kern w:val="0"/>
                <w:sz w:val="24"/>
                <w:szCs w:val="24"/>
              </w:rPr>
              <w:t>查验并留存进货凭证，并按要求记录</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588" w:type="dxa"/>
            <w:vMerge w:val="continue"/>
            <w:vAlign w:val="center"/>
          </w:tcPr>
          <w:p>
            <w:pPr>
              <w:overflowPunct w:val="0"/>
              <w:adjustRightInd w:val="0"/>
              <w:snapToGrid w:val="0"/>
              <w:jc w:val="center"/>
              <w:rPr>
                <w:kern w:val="0"/>
                <w:sz w:val="24"/>
                <w:szCs w:val="24"/>
              </w:rPr>
            </w:pPr>
          </w:p>
        </w:tc>
        <w:tc>
          <w:tcPr>
            <w:tcW w:w="1134" w:type="dxa"/>
            <w:vAlign w:val="center"/>
          </w:tcPr>
          <w:p>
            <w:pPr>
              <w:overflowPunct w:val="0"/>
              <w:adjustRightInd w:val="0"/>
              <w:snapToGrid w:val="0"/>
              <w:jc w:val="center"/>
              <w:rPr>
                <w:kern w:val="0"/>
                <w:sz w:val="24"/>
                <w:szCs w:val="24"/>
              </w:rPr>
            </w:pPr>
            <w:r>
              <w:rPr>
                <w:rFonts w:hint="eastAsia"/>
                <w:kern w:val="0"/>
                <w:sz w:val="24"/>
                <w:szCs w:val="24"/>
              </w:rPr>
              <w:t>2.4</w:t>
            </w:r>
          </w:p>
        </w:tc>
        <w:tc>
          <w:tcPr>
            <w:tcW w:w="7768" w:type="dxa"/>
            <w:vAlign w:val="center"/>
          </w:tcPr>
          <w:p>
            <w:pPr>
              <w:overflowPunct w:val="0"/>
              <w:adjustRightInd w:val="0"/>
              <w:snapToGrid w:val="0"/>
              <w:rPr>
                <w:kern w:val="0"/>
                <w:sz w:val="24"/>
                <w:szCs w:val="24"/>
              </w:rPr>
            </w:pPr>
            <w:r>
              <w:rPr>
                <w:rFonts w:hint="eastAsia"/>
                <w:kern w:val="0"/>
                <w:sz w:val="24"/>
                <w:szCs w:val="24"/>
              </w:rPr>
              <w:t>建立食品安全追溯体系，保证婴幼儿配方乳粉和特殊医学用途配方食品可追溯。</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588" w:type="dxa"/>
            <w:vMerge w:val="continue"/>
            <w:vAlign w:val="center"/>
          </w:tcPr>
          <w:p>
            <w:pPr>
              <w:overflowPunct w:val="0"/>
              <w:adjustRightInd w:val="0"/>
              <w:snapToGrid w:val="0"/>
              <w:jc w:val="center"/>
              <w:rPr>
                <w:kern w:val="0"/>
                <w:sz w:val="24"/>
                <w:szCs w:val="24"/>
              </w:rPr>
            </w:pPr>
          </w:p>
        </w:tc>
        <w:tc>
          <w:tcPr>
            <w:tcW w:w="1134" w:type="dxa"/>
            <w:vAlign w:val="center"/>
          </w:tcPr>
          <w:p>
            <w:pPr>
              <w:overflowPunct w:val="0"/>
              <w:adjustRightInd w:val="0"/>
              <w:snapToGrid w:val="0"/>
              <w:jc w:val="center"/>
              <w:rPr>
                <w:kern w:val="0"/>
                <w:sz w:val="24"/>
                <w:szCs w:val="24"/>
              </w:rPr>
            </w:pPr>
            <w:r>
              <w:rPr>
                <w:rFonts w:hint="eastAsia"/>
                <w:kern w:val="0"/>
                <w:sz w:val="24"/>
                <w:szCs w:val="24"/>
              </w:rPr>
              <w:t>2.5</w:t>
            </w:r>
          </w:p>
        </w:tc>
        <w:tc>
          <w:tcPr>
            <w:tcW w:w="7768" w:type="dxa"/>
            <w:vAlign w:val="center"/>
          </w:tcPr>
          <w:p>
            <w:pPr>
              <w:overflowPunct w:val="0"/>
              <w:adjustRightInd w:val="0"/>
              <w:snapToGrid w:val="0"/>
              <w:rPr>
                <w:kern w:val="0"/>
                <w:sz w:val="24"/>
                <w:szCs w:val="24"/>
              </w:rPr>
            </w:pPr>
            <w:r>
              <w:rPr>
                <w:rFonts w:hint="eastAsia"/>
                <w:kern w:val="0"/>
                <w:sz w:val="24"/>
                <w:szCs w:val="24"/>
              </w:rPr>
              <w:t>按照要求向本市食品安全信息追溯平台上传追溯信息，向消费者提供追溯信息查询。</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588" w:type="dxa"/>
            <w:vMerge w:val="restart"/>
            <w:vAlign w:val="center"/>
          </w:tcPr>
          <w:p>
            <w:pPr>
              <w:overflowPunct w:val="0"/>
              <w:adjustRightInd w:val="0"/>
              <w:snapToGrid w:val="0"/>
              <w:jc w:val="center"/>
              <w:rPr>
                <w:kern w:val="0"/>
                <w:sz w:val="24"/>
                <w:szCs w:val="24"/>
              </w:rPr>
            </w:pPr>
            <w:r>
              <w:rPr>
                <w:rFonts w:hint="eastAsia"/>
                <w:kern w:val="0"/>
                <w:sz w:val="24"/>
                <w:szCs w:val="24"/>
              </w:rPr>
              <w:t>3 销售过程控制</w:t>
            </w:r>
          </w:p>
        </w:tc>
        <w:tc>
          <w:tcPr>
            <w:tcW w:w="1134" w:type="dxa"/>
            <w:vAlign w:val="center"/>
          </w:tcPr>
          <w:p>
            <w:pPr>
              <w:overflowPunct w:val="0"/>
              <w:adjustRightInd w:val="0"/>
              <w:snapToGrid w:val="0"/>
              <w:jc w:val="center"/>
              <w:rPr>
                <w:kern w:val="0"/>
                <w:sz w:val="24"/>
                <w:szCs w:val="24"/>
              </w:rPr>
            </w:pPr>
            <w:r>
              <w:rPr>
                <w:rFonts w:hint="eastAsia"/>
                <w:kern w:val="0"/>
                <w:sz w:val="24"/>
                <w:szCs w:val="24"/>
              </w:rPr>
              <w:t>3.1</w:t>
            </w:r>
          </w:p>
        </w:tc>
        <w:tc>
          <w:tcPr>
            <w:tcW w:w="7768" w:type="dxa"/>
            <w:vAlign w:val="center"/>
          </w:tcPr>
          <w:p>
            <w:pPr>
              <w:overflowPunct w:val="0"/>
              <w:adjustRightInd w:val="0"/>
              <w:snapToGrid w:val="0"/>
              <w:rPr>
                <w:kern w:val="0"/>
                <w:sz w:val="24"/>
                <w:szCs w:val="24"/>
              </w:rPr>
            </w:pPr>
            <w:r>
              <w:rPr>
                <w:rFonts w:hint="eastAsia"/>
                <w:kern w:val="0"/>
                <w:sz w:val="24"/>
                <w:szCs w:val="24"/>
              </w:rPr>
              <w:t>专区专柜（货架）销售并设立婴幼儿配方乳粉销售专区（专柜）和特殊医学用途配方食品销售专区（专柜）提示牌，提示牌内容符合要求；无特殊食品与普通食品或者药品混放、三类特殊食品混放情况。</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588" w:type="dxa"/>
            <w:vMerge w:val="continue"/>
            <w:vAlign w:val="center"/>
          </w:tcPr>
          <w:p>
            <w:pPr>
              <w:overflowPunct w:val="0"/>
              <w:adjustRightInd w:val="0"/>
              <w:snapToGrid w:val="0"/>
              <w:jc w:val="center"/>
              <w:rPr>
                <w:kern w:val="0"/>
                <w:sz w:val="24"/>
                <w:szCs w:val="24"/>
              </w:rPr>
            </w:pPr>
          </w:p>
        </w:tc>
        <w:tc>
          <w:tcPr>
            <w:tcW w:w="1134" w:type="dxa"/>
            <w:vAlign w:val="center"/>
          </w:tcPr>
          <w:p>
            <w:pPr>
              <w:overflowPunct w:val="0"/>
              <w:adjustRightInd w:val="0"/>
              <w:snapToGrid w:val="0"/>
              <w:jc w:val="center"/>
              <w:rPr>
                <w:kern w:val="0"/>
                <w:sz w:val="24"/>
                <w:szCs w:val="24"/>
              </w:rPr>
            </w:pPr>
            <w:r>
              <w:rPr>
                <w:rFonts w:hint="eastAsia"/>
                <w:kern w:val="0"/>
                <w:sz w:val="24"/>
                <w:szCs w:val="24"/>
              </w:rPr>
              <w:t>3.2*</w:t>
            </w:r>
          </w:p>
        </w:tc>
        <w:tc>
          <w:tcPr>
            <w:tcW w:w="7768" w:type="dxa"/>
            <w:vAlign w:val="center"/>
          </w:tcPr>
          <w:p>
            <w:pPr>
              <w:overflowPunct w:val="0"/>
              <w:adjustRightInd w:val="0"/>
              <w:snapToGrid w:val="0"/>
              <w:rPr>
                <w:kern w:val="0"/>
                <w:sz w:val="24"/>
                <w:szCs w:val="24"/>
              </w:rPr>
            </w:pPr>
            <w:r>
              <w:rPr>
                <w:rFonts w:hint="eastAsia"/>
                <w:kern w:val="0"/>
                <w:sz w:val="24"/>
                <w:szCs w:val="24"/>
              </w:rPr>
              <w:t>销售的婴幼儿配方乳粉和特殊医学用途配方食品标签、说明书与产品（配方）注册的标签、说明书一致，不涉及疾病预防、治疗功能。</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588" w:type="dxa"/>
            <w:vMerge w:val="continue"/>
            <w:vAlign w:val="center"/>
          </w:tcPr>
          <w:p>
            <w:pPr>
              <w:overflowPunct w:val="0"/>
              <w:adjustRightInd w:val="0"/>
              <w:snapToGrid w:val="0"/>
              <w:jc w:val="center"/>
              <w:rPr>
                <w:kern w:val="0"/>
                <w:sz w:val="24"/>
                <w:szCs w:val="24"/>
              </w:rPr>
            </w:pPr>
          </w:p>
        </w:tc>
        <w:tc>
          <w:tcPr>
            <w:tcW w:w="1134" w:type="dxa"/>
            <w:vAlign w:val="center"/>
          </w:tcPr>
          <w:p>
            <w:pPr>
              <w:overflowPunct w:val="0"/>
              <w:adjustRightInd w:val="0"/>
              <w:snapToGrid w:val="0"/>
              <w:jc w:val="center"/>
              <w:rPr>
                <w:kern w:val="0"/>
                <w:sz w:val="24"/>
                <w:szCs w:val="24"/>
              </w:rPr>
            </w:pPr>
            <w:r>
              <w:rPr>
                <w:rFonts w:hint="eastAsia"/>
                <w:kern w:val="0"/>
                <w:sz w:val="24"/>
                <w:szCs w:val="24"/>
              </w:rPr>
              <w:t>3.3</w:t>
            </w:r>
          </w:p>
        </w:tc>
        <w:tc>
          <w:tcPr>
            <w:tcW w:w="7768" w:type="dxa"/>
            <w:vAlign w:val="center"/>
          </w:tcPr>
          <w:p>
            <w:pPr>
              <w:overflowPunct w:val="0"/>
              <w:adjustRightInd w:val="0"/>
              <w:snapToGrid w:val="0"/>
              <w:rPr>
                <w:kern w:val="0"/>
                <w:sz w:val="24"/>
                <w:szCs w:val="24"/>
              </w:rPr>
            </w:pPr>
            <w:r>
              <w:rPr>
                <w:rFonts w:hint="eastAsia"/>
                <w:kern w:val="0"/>
                <w:sz w:val="24"/>
                <w:szCs w:val="24"/>
              </w:rPr>
              <w:t>距离保质期不足1个月的婴幼儿配方乳粉采取醒目提示或者提前下架等处理措施。</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588" w:type="dxa"/>
            <w:vMerge w:val="restart"/>
            <w:vAlign w:val="center"/>
          </w:tcPr>
          <w:p>
            <w:pPr>
              <w:overflowPunct w:val="0"/>
              <w:adjustRightInd w:val="0"/>
              <w:snapToGrid w:val="0"/>
              <w:jc w:val="center"/>
              <w:rPr>
                <w:kern w:val="0"/>
                <w:sz w:val="24"/>
                <w:szCs w:val="24"/>
              </w:rPr>
            </w:pPr>
            <w:r>
              <w:rPr>
                <w:rFonts w:hint="eastAsia"/>
                <w:kern w:val="0"/>
                <w:sz w:val="24"/>
                <w:szCs w:val="24"/>
              </w:rPr>
              <w:t>4 营销宣传</w:t>
            </w:r>
          </w:p>
        </w:tc>
        <w:tc>
          <w:tcPr>
            <w:tcW w:w="1134" w:type="dxa"/>
            <w:vAlign w:val="center"/>
          </w:tcPr>
          <w:p>
            <w:pPr>
              <w:overflowPunct w:val="0"/>
              <w:adjustRightInd w:val="0"/>
              <w:snapToGrid w:val="0"/>
              <w:jc w:val="center"/>
              <w:rPr>
                <w:kern w:val="0"/>
                <w:sz w:val="24"/>
                <w:szCs w:val="24"/>
              </w:rPr>
            </w:pPr>
            <w:r>
              <w:rPr>
                <w:rFonts w:hint="eastAsia"/>
                <w:kern w:val="0"/>
                <w:sz w:val="24"/>
                <w:szCs w:val="24"/>
              </w:rPr>
              <w:t>4.1</w:t>
            </w:r>
          </w:p>
        </w:tc>
        <w:tc>
          <w:tcPr>
            <w:tcW w:w="7768" w:type="dxa"/>
            <w:vAlign w:val="center"/>
          </w:tcPr>
          <w:p>
            <w:pPr>
              <w:overflowPunct w:val="0"/>
              <w:adjustRightInd w:val="0"/>
              <w:snapToGrid w:val="0"/>
              <w:rPr>
                <w:kern w:val="0"/>
                <w:sz w:val="24"/>
                <w:szCs w:val="24"/>
              </w:rPr>
            </w:pPr>
            <w:r>
              <w:rPr>
                <w:rFonts w:hint="eastAsia"/>
                <w:kern w:val="0"/>
                <w:sz w:val="24"/>
                <w:szCs w:val="24"/>
              </w:rPr>
              <w:t>销售的特殊医学用途配方食品广告与批准的一致。</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588" w:type="dxa"/>
            <w:vMerge w:val="continue"/>
            <w:vAlign w:val="center"/>
          </w:tcPr>
          <w:p>
            <w:pPr>
              <w:overflowPunct w:val="0"/>
              <w:adjustRightInd w:val="0"/>
              <w:snapToGrid w:val="0"/>
              <w:jc w:val="center"/>
              <w:rPr>
                <w:kern w:val="0"/>
                <w:sz w:val="24"/>
                <w:szCs w:val="24"/>
              </w:rPr>
            </w:pPr>
          </w:p>
        </w:tc>
        <w:tc>
          <w:tcPr>
            <w:tcW w:w="1134" w:type="dxa"/>
            <w:vAlign w:val="center"/>
          </w:tcPr>
          <w:p>
            <w:pPr>
              <w:overflowPunct w:val="0"/>
              <w:adjustRightInd w:val="0"/>
              <w:snapToGrid w:val="0"/>
              <w:jc w:val="center"/>
              <w:rPr>
                <w:kern w:val="0"/>
                <w:sz w:val="24"/>
                <w:szCs w:val="24"/>
              </w:rPr>
            </w:pPr>
            <w:r>
              <w:rPr>
                <w:rFonts w:hint="eastAsia"/>
                <w:kern w:val="0"/>
                <w:sz w:val="24"/>
                <w:szCs w:val="24"/>
              </w:rPr>
              <w:t>4.2*</w:t>
            </w:r>
          </w:p>
        </w:tc>
        <w:tc>
          <w:tcPr>
            <w:tcW w:w="7768" w:type="dxa"/>
            <w:vAlign w:val="center"/>
          </w:tcPr>
          <w:p>
            <w:pPr>
              <w:overflowPunct w:val="0"/>
              <w:adjustRightInd w:val="0"/>
              <w:snapToGrid w:val="0"/>
              <w:rPr>
                <w:kern w:val="0"/>
                <w:sz w:val="24"/>
                <w:szCs w:val="24"/>
              </w:rPr>
            </w:pPr>
            <w:r>
              <w:rPr>
                <w:rFonts w:hint="eastAsia"/>
                <w:kern w:val="0"/>
                <w:sz w:val="24"/>
                <w:szCs w:val="24"/>
              </w:rPr>
              <w:t>经营场所的宣传材料无虚假夸大宣传的内容，销售人员无虚假夸大宣传的行为。</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588" w:type="dxa"/>
            <w:vMerge w:val="continue"/>
            <w:vAlign w:val="center"/>
          </w:tcPr>
          <w:p>
            <w:pPr>
              <w:overflowPunct w:val="0"/>
              <w:adjustRightInd w:val="0"/>
              <w:snapToGrid w:val="0"/>
              <w:jc w:val="center"/>
              <w:rPr>
                <w:kern w:val="0"/>
                <w:sz w:val="24"/>
                <w:szCs w:val="24"/>
              </w:rPr>
            </w:pPr>
          </w:p>
        </w:tc>
        <w:tc>
          <w:tcPr>
            <w:tcW w:w="1134" w:type="dxa"/>
            <w:vAlign w:val="center"/>
          </w:tcPr>
          <w:p>
            <w:pPr>
              <w:overflowPunct w:val="0"/>
              <w:adjustRightInd w:val="0"/>
              <w:snapToGrid w:val="0"/>
              <w:jc w:val="center"/>
              <w:rPr>
                <w:kern w:val="0"/>
                <w:sz w:val="24"/>
                <w:szCs w:val="24"/>
              </w:rPr>
            </w:pPr>
            <w:r>
              <w:rPr>
                <w:rFonts w:hint="eastAsia"/>
                <w:kern w:val="0"/>
                <w:sz w:val="24"/>
                <w:szCs w:val="24"/>
              </w:rPr>
              <w:t>4.3*</w:t>
            </w:r>
          </w:p>
        </w:tc>
        <w:tc>
          <w:tcPr>
            <w:tcW w:w="7768" w:type="dxa"/>
            <w:vAlign w:val="center"/>
          </w:tcPr>
          <w:p>
            <w:pPr>
              <w:overflowPunct w:val="0"/>
              <w:adjustRightInd w:val="0"/>
              <w:snapToGrid w:val="0"/>
              <w:rPr>
                <w:kern w:val="0"/>
                <w:sz w:val="24"/>
                <w:szCs w:val="24"/>
              </w:rPr>
            </w:pPr>
            <w:r>
              <w:rPr>
                <w:rFonts w:hint="eastAsia"/>
                <w:kern w:val="0"/>
                <w:sz w:val="24"/>
                <w:szCs w:val="24"/>
              </w:rPr>
              <w:t>现场无0—6个月婴儿的婴幼儿配方食品和特殊医学用途婴儿配方食品违规推销宣传材料。</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588" w:type="dxa"/>
            <w:vMerge w:val="restart"/>
            <w:vAlign w:val="center"/>
          </w:tcPr>
          <w:p>
            <w:pPr>
              <w:overflowPunct w:val="0"/>
              <w:adjustRightInd w:val="0"/>
              <w:snapToGrid w:val="0"/>
              <w:jc w:val="center"/>
              <w:rPr>
                <w:kern w:val="0"/>
                <w:sz w:val="24"/>
                <w:szCs w:val="24"/>
              </w:rPr>
            </w:pPr>
            <w:r>
              <w:rPr>
                <w:rFonts w:hint="eastAsia"/>
                <w:kern w:val="0"/>
                <w:sz w:val="24"/>
                <w:szCs w:val="24"/>
              </w:rPr>
              <w:t>5 网络销售</w:t>
            </w:r>
          </w:p>
        </w:tc>
        <w:tc>
          <w:tcPr>
            <w:tcW w:w="1134" w:type="dxa"/>
            <w:vAlign w:val="center"/>
          </w:tcPr>
          <w:p>
            <w:pPr>
              <w:overflowPunct w:val="0"/>
              <w:adjustRightInd w:val="0"/>
              <w:snapToGrid w:val="0"/>
              <w:jc w:val="center"/>
              <w:rPr>
                <w:kern w:val="0"/>
                <w:sz w:val="24"/>
                <w:szCs w:val="24"/>
              </w:rPr>
            </w:pPr>
            <w:r>
              <w:rPr>
                <w:rFonts w:hint="eastAsia"/>
                <w:kern w:val="0"/>
                <w:sz w:val="24"/>
                <w:szCs w:val="24"/>
              </w:rPr>
              <w:t>5.1*</w:t>
            </w:r>
          </w:p>
        </w:tc>
        <w:tc>
          <w:tcPr>
            <w:tcW w:w="7768" w:type="dxa"/>
            <w:vAlign w:val="center"/>
          </w:tcPr>
          <w:p>
            <w:pPr>
              <w:overflowPunct w:val="0"/>
              <w:adjustRightInd w:val="0"/>
              <w:snapToGrid w:val="0"/>
              <w:rPr>
                <w:kern w:val="0"/>
                <w:sz w:val="24"/>
                <w:szCs w:val="24"/>
              </w:rPr>
            </w:pPr>
            <w:r>
              <w:rPr>
                <w:rFonts w:hint="eastAsia"/>
                <w:kern w:val="0"/>
                <w:sz w:val="24"/>
                <w:szCs w:val="24"/>
              </w:rPr>
              <w:t>网上公示食品生产经营许可证（或备案）（类别含婴幼儿配方乳粉和特殊医学用途配方食品）、营业执照、产品（配方）注册证书等文件，并在有效期内，品种信息与实际销售产品相符。</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588" w:type="dxa"/>
            <w:vMerge w:val="continue"/>
            <w:vAlign w:val="center"/>
          </w:tcPr>
          <w:p>
            <w:pPr>
              <w:overflowPunct w:val="0"/>
              <w:adjustRightInd w:val="0"/>
              <w:snapToGrid w:val="0"/>
              <w:jc w:val="center"/>
              <w:rPr>
                <w:kern w:val="0"/>
                <w:sz w:val="24"/>
                <w:szCs w:val="24"/>
              </w:rPr>
            </w:pPr>
          </w:p>
        </w:tc>
        <w:tc>
          <w:tcPr>
            <w:tcW w:w="1134" w:type="dxa"/>
            <w:vAlign w:val="center"/>
          </w:tcPr>
          <w:p>
            <w:pPr>
              <w:overflowPunct w:val="0"/>
              <w:adjustRightInd w:val="0"/>
              <w:snapToGrid w:val="0"/>
              <w:jc w:val="center"/>
              <w:rPr>
                <w:kern w:val="0"/>
                <w:sz w:val="24"/>
                <w:szCs w:val="24"/>
              </w:rPr>
            </w:pPr>
            <w:r>
              <w:rPr>
                <w:rFonts w:hint="eastAsia"/>
                <w:kern w:val="0"/>
                <w:sz w:val="24"/>
                <w:szCs w:val="24"/>
              </w:rPr>
              <w:t>5.2</w:t>
            </w:r>
          </w:p>
        </w:tc>
        <w:tc>
          <w:tcPr>
            <w:tcW w:w="7768" w:type="dxa"/>
            <w:vAlign w:val="center"/>
          </w:tcPr>
          <w:p>
            <w:pPr>
              <w:overflowPunct w:val="0"/>
              <w:adjustRightInd w:val="0"/>
              <w:snapToGrid w:val="0"/>
              <w:rPr>
                <w:kern w:val="0"/>
                <w:sz w:val="24"/>
                <w:szCs w:val="24"/>
              </w:rPr>
            </w:pPr>
            <w:r>
              <w:rPr>
                <w:rFonts w:hint="eastAsia"/>
                <w:kern w:val="0"/>
                <w:sz w:val="24"/>
                <w:szCs w:val="24"/>
              </w:rPr>
              <w:t>网上公示的特殊医学用途配方食品广告（审查批准文号）与审查批准的一致。</w:t>
            </w:r>
          </w:p>
        </w:tc>
        <w:tc>
          <w:tcPr>
            <w:tcW w:w="1701" w:type="dxa"/>
            <w:vAlign w:val="center"/>
          </w:tcPr>
          <w:p>
            <w:pPr>
              <w:overflowPunct w:val="0"/>
              <w:adjustRightInd w:val="0"/>
              <w:snapToGrid w:val="0"/>
              <w:jc w:val="center"/>
              <w:rPr>
                <w:kern w:val="0"/>
                <w:sz w:val="24"/>
                <w:szCs w:val="24"/>
              </w:rPr>
            </w:pPr>
            <w:r>
              <w:rPr>
                <w:rFonts w:hint="eastAsia"/>
                <w:kern w:val="0"/>
                <w:sz w:val="24"/>
                <w:szCs w:val="24"/>
              </w:rPr>
              <w:t>□是　□否</w:t>
            </w:r>
          </w:p>
        </w:tc>
        <w:tc>
          <w:tcPr>
            <w:tcW w:w="1418" w:type="dxa"/>
            <w:vAlign w:val="center"/>
          </w:tcPr>
          <w:p>
            <w:pPr>
              <w:overflowPunct w:val="0"/>
              <w:adjustRightInd w:val="0"/>
              <w:snapToGrid w:val="0"/>
              <w:jc w:val="center"/>
              <w:rPr>
                <w:kern w:val="0"/>
                <w:sz w:val="24"/>
                <w:szCs w:val="24"/>
              </w:rPr>
            </w:pPr>
          </w:p>
        </w:tc>
      </w:tr>
    </w:tbl>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sectPr>
          <w:headerReference r:id="rId7" w:type="default"/>
          <w:footerReference r:id="rId9" w:type="default"/>
          <w:headerReference r:id="rId8" w:type="even"/>
          <w:footerReference r:id="rId10" w:type="even"/>
          <w:pgSz w:w="16838" w:h="11906" w:orient="landscape"/>
          <w:pgMar w:top="1588" w:right="1644" w:bottom="1474" w:left="1644" w:header="851" w:footer="907" w:gutter="0"/>
          <w:cols w:space="425" w:num="1"/>
          <w:docGrid w:type="lines" w:linePitch="579" w:charSpace="-849"/>
        </w:sectPr>
      </w:pPr>
    </w:p>
    <w:p>
      <w:pPr>
        <w:tabs>
          <w:tab w:val="left" w:pos="790"/>
          <w:tab w:val="left" w:pos="1264"/>
        </w:tabs>
        <w:overflowPunct w:val="0"/>
        <w:adjustRightInd w:val="0"/>
        <w:snapToGrid w:val="0"/>
        <w:spacing w:line="336" w:lineRule="auto"/>
        <w:ind w:firstLine="624"/>
        <w:rPr>
          <w:rFonts w:hAnsi="宋体"/>
          <w:kern w:val="0"/>
          <w:szCs w:val="30"/>
        </w:rPr>
      </w:pPr>
    </w:p>
    <w:p>
      <w:pPr>
        <w:widowControl/>
        <w:jc w:val="left"/>
        <w:rPr>
          <w:rFonts w:hAnsi="宋体"/>
          <w:kern w:val="0"/>
          <w:szCs w:val="30"/>
        </w:rPr>
      </w:pPr>
      <w:r>
        <w:rPr>
          <w:rFonts w:hAnsi="宋体"/>
          <w:kern w:val="0"/>
          <w:szCs w:val="30"/>
        </w:rPr>
        <w:br w:type="page"/>
      </w:r>
    </w:p>
    <w:p>
      <w:pPr>
        <w:tabs>
          <w:tab w:val="left" w:pos="790"/>
          <w:tab w:val="left" w:pos="1264"/>
        </w:tabs>
        <w:overflowPunct w:val="0"/>
        <w:adjustRightInd w:val="0"/>
        <w:snapToGrid w:val="0"/>
        <w:spacing w:line="336" w:lineRule="auto"/>
        <w:ind w:firstLine="624"/>
        <w:rPr>
          <w:rFonts w:hAnsi="宋体"/>
          <w:kern w:val="0"/>
          <w:szCs w:val="30"/>
        </w:rPr>
      </w:pPr>
    </w:p>
    <w:p>
      <w:pPr>
        <w:widowControl/>
        <w:jc w:val="left"/>
        <w:rPr>
          <w:rFonts w:hAnsi="宋体"/>
          <w:kern w:val="0"/>
          <w:szCs w:val="30"/>
        </w:rPr>
      </w:pPr>
      <w:r>
        <w:rPr>
          <w:rFonts w:hAnsi="宋体"/>
          <w:kern w:val="0"/>
          <w:szCs w:val="30"/>
        </w:rPr>
        <w:br w:type="page"/>
      </w: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line="336" w:lineRule="auto"/>
        <w:ind w:firstLine="624"/>
        <w:rPr>
          <w:rFonts w:hAnsi="宋体"/>
          <w:kern w:val="0"/>
          <w:szCs w:val="30"/>
        </w:rPr>
      </w:pPr>
    </w:p>
    <w:p>
      <w:pPr>
        <w:tabs>
          <w:tab w:val="left" w:pos="790"/>
          <w:tab w:val="left" w:pos="1264"/>
        </w:tabs>
        <w:overflowPunct w:val="0"/>
        <w:adjustRightInd w:val="0"/>
        <w:snapToGrid w:val="0"/>
        <w:spacing w:after="140" w:line="336" w:lineRule="auto"/>
        <w:ind w:firstLine="624"/>
        <w:rPr>
          <w:rFonts w:hAnsi="宋体"/>
          <w:kern w:val="0"/>
          <w:szCs w:val="30"/>
        </w:rPr>
      </w:pPr>
    </w:p>
    <w:p>
      <w:pPr>
        <w:overflowPunct w:val="0"/>
        <w:adjustRightInd w:val="0"/>
        <w:snapToGrid w:val="0"/>
        <w:spacing w:line="336" w:lineRule="auto"/>
        <w:ind w:firstLine="284"/>
        <w:rPr>
          <w:rFonts w:hAnsi="宋体"/>
          <w:kern w:val="0"/>
          <w:szCs w:val="30"/>
        </w:rPr>
      </w:pPr>
      <w:r>
        <w:rPr>
          <w:kern w:val="0"/>
          <w:sz w:val="28"/>
          <w:szCs w:val="28"/>
        </w:rPr>
        <w:pict>
          <v:line id="_x0000_s1028" o:spid="_x0000_s1028" o:spt="20" style="position:absolute;left:0pt;margin-left:0pt;margin-top:20.7pt;height:0pt;width:442.2pt;z-index:251663360;mso-width-relative:page;mso-height-relative:page;" coordsize="21600,21600">
            <v:path arrowok="t"/>
            <v:fill focussize="0,0"/>
            <v:stroke weight="1pt"/>
            <v:imagedata o:title=""/>
            <o:lock v:ext="edit"/>
            <w10:anchorlock/>
          </v:line>
        </w:pict>
      </w:r>
      <w:r>
        <w:rPr>
          <w:kern w:val="0"/>
          <w:sz w:val="28"/>
          <w:szCs w:val="28"/>
        </w:rPr>
        <w:pict>
          <v:line id="_x0000_s1027" o:spid="_x0000_s1027" o:spt="20" style="position:absolute;left:0pt;margin-left:0pt;margin-top:-3.95pt;height:0pt;width:442.2pt;z-index:251662336;mso-width-relative:page;mso-height-relative:page;" coordsize="21600,21600">
            <v:path arrowok="t"/>
            <v:fill focussize="0,0"/>
            <v:stroke weight="1pt"/>
            <v:imagedata o:title=""/>
            <o:lock v:ext="edit"/>
            <w10:anchorlock/>
          </v:line>
        </w:pict>
      </w:r>
      <w:r>
        <w:rPr>
          <w:rFonts w:hint="eastAsia" w:hAnsi="宋体"/>
          <w:kern w:val="0"/>
          <w:sz w:val="28"/>
          <w:szCs w:val="28"/>
        </w:rPr>
        <w:t>上海市市场监督管理局办公室</w:t>
      </w:r>
      <w:r>
        <w:rPr>
          <w:rFonts w:hint="eastAsia" w:hAnsi="宋体"/>
          <w:spacing w:val="-2"/>
          <w:kern w:val="0"/>
          <w:sz w:val="28"/>
          <w:szCs w:val="28"/>
        </w:rPr>
        <w:t xml:space="preserve">               </w:t>
      </w:r>
      <w:r>
        <w:rPr>
          <w:rFonts w:hint="eastAsia" w:hAnsi="宋体"/>
          <w:kern w:val="0"/>
          <w:sz w:val="28"/>
          <w:szCs w:val="28"/>
        </w:rPr>
        <w:t xml:space="preserve">2021年9月15日印发  </w:t>
      </w:r>
    </w:p>
    <w:sectPr>
      <w:headerReference r:id="rId11" w:type="default"/>
      <w:footerReference r:id="rId13" w:type="default"/>
      <w:headerReference r:id="rId12" w:type="even"/>
      <w:footerReference r:id="rId14" w:type="even"/>
      <w:pgSz w:w="11906" w:h="16838"/>
      <w:pgMar w:top="2098" w:right="1474" w:bottom="1985"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right"/>
      <w:rPr>
        <w:rFonts w:ascii="宋体" w:hAnsi="宋体" w:eastAsia="宋体"/>
        <w:kern w:val="0"/>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1</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both"/>
      <w:rPr>
        <w:rFonts w:ascii="宋体" w:hAnsi="宋体" w:eastAsia="宋体"/>
        <w:kern w:val="0"/>
        <w:sz w:val="28"/>
        <w:szCs w:val="28"/>
      </w:rPr>
    </w:pPr>
    <w:r>
      <w:rPr>
        <w:rFonts w:hint="eastAsia" w:ascii="宋体" w:hAnsi="宋体" w:eastAsia="宋体"/>
        <w:kern w:val="0"/>
        <w:sz w:val="28"/>
        <w:szCs w:val="28"/>
      </w:rPr>
      <w:t xml:space="preserve">— </w:t>
    </w:r>
    <w:r>
      <w:rPr>
        <w:rFonts w:hint="eastAsia" w:ascii="宋体" w:hAnsi="宋体" w:eastAsia="宋体"/>
        <w:kern w:val="0"/>
        <w:sz w:val="28"/>
        <w:szCs w:val="28"/>
      </w:rPr>
      <w:fldChar w:fldCharType="begin"/>
    </w:r>
    <w:r>
      <w:rPr>
        <w:rFonts w:hint="eastAsia" w:ascii="宋体" w:hAnsi="宋体" w:eastAsia="宋体"/>
        <w:kern w:val="0"/>
        <w:sz w:val="28"/>
        <w:szCs w:val="28"/>
      </w:rPr>
      <w:instrText xml:space="preserve"> PAGE </w:instrText>
    </w:r>
    <w:r>
      <w:rPr>
        <w:rFonts w:hint="eastAsia" w:ascii="宋体" w:hAnsi="宋体" w:eastAsia="宋体"/>
        <w:kern w:val="0"/>
        <w:sz w:val="28"/>
        <w:szCs w:val="28"/>
      </w:rPr>
      <w:fldChar w:fldCharType="separate"/>
    </w:r>
    <w:r>
      <w:rPr>
        <w:rFonts w:ascii="宋体" w:hAnsi="宋体" w:eastAsia="宋体"/>
        <w:kern w:val="0"/>
        <w:sz w:val="28"/>
        <w:szCs w:val="28"/>
      </w:rPr>
      <w:t>2</w:t>
    </w:r>
    <w:r>
      <w:rPr>
        <w:rFonts w:hint="eastAsia" w:ascii="宋体" w:hAnsi="宋体" w:eastAsia="宋体"/>
        <w:kern w:val="0"/>
        <w:sz w:val="28"/>
        <w:szCs w:val="28"/>
      </w:rPr>
      <w:fldChar w:fldCharType="end"/>
    </w:r>
    <w:r>
      <w:rPr>
        <w:rFonts w:hint="eastAsia" w:ascii="宋体" w:hAnsi="宋体" w:eastAsia="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right"/>
      <w:rPr>
        <w:rFonts w:ascii="宋体" w:hAnsi="宋体" w:eastAsia="宋体"/>
        <w:kern w:val="0"/>
        <w:sz w:val="28"/>
        <w:szCs w:val="28"/>
      </w:rPr>
    </w:pPr>
    <w:r>
      <w:rPr>
        <w:rFonts w:ascii="宋体" w:hAnsi="宋体" w:eastAsia="宋体"/>
        <w:kern w:val="0"/>
        <w:sz w:val="28"/>
        <w:szCs w:val="28"/>
      </w:rPr>
      <w:pict>
        <v:shape id="_x0000_s2049" o:spid="_x0000_s2049" o:spt="202" type="#_x0000_t202" style="position:absolute;left:0pt;margin-left:-42.45pt;margin-top:-95.1pt;height:85.95pt;width:24.5pt;mso-wrap-distance-bottom:0pt;mso-wrap-distance-left:9pt;mso-wrap-distance-right:9pt;mso-wrap-distance-top:0pt;mso-wrap-style:none;z-index:251659264;mso-width-relative:page;mso-height-relative:page;" filled="f" stroked="f" coordsize="21600,21600">
          <v:path/>
          <v:fill on="f" focussize="0,0"/>
          <v:stroke on="f" joinstyle="miter"/>
          <v:imagedata o:title=""/>
          <o:lock v:ext="edit"/>
          <v:textbox inset="1mm,1mm,1mm,1mm" style="layout-flow:vertical-ideographic;mso-fit-shape-to-text:t;">
            <w:txbxContent>
              <w:p>
                <w:pPr>
                  <w:pStyle w:val="3"/>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9</w:t>
                </w:r>
                <w:r>
                  <w:rPr>
                    <w:rFonts w:hint="eastAsia" w:ascii="宋体" w:hAnsi="宋体"/>
                    <w:sz w:val="28"/>
                    <w:szCs w:val="28"/>
                  </w:rPr>
                  <w:fldChar w:fldCharType="end"/>
                </w:r>
                <w:r>
                  <w:rPr>
                    <w:rFonts w:hint="eastAsia" w:ascii="宋体" w:hAnsi="宋体"/>
                    <w:sz w:val="28"/>
                    <w:szCs w:val="28"/>
                  </w:rPr>
                  <w:t xml:space="preserve"> —</w:t>
                </w:r>
              </w:p>
            </w:txbxContent>
          </v:textbox>
          <w10:wrap type="square"/>
          <w10:anchorlock/>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2" w:right="312"/>
      <w:jc w:val="both"/>
      <w:rPr>
        <w:rFonts w:ascii="宋体" w:hAnsi="宋体" w:eastAsia="宋体"/>
        <w:kern w:val="0"/>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2050" o:spid="_x0000_s2050" o:spt="202" type="#_x0000_t202" style="position:absolute;left:0pt;margin-left:-42.2pt;margin-top:35.65pt;height:85.95pt;width:24.5pt;mso-wrap-distance-bottom:0pt;mso-wrap-distance-left:9pt;mso-wrap-distance-right:9pt;mso-wrap-distance-top:0pt;mso-wrap-style:none;z-index:251660288;mso-width-relative:page;mso-height-relative:page;" filled="f" stroked="f" coordsize="21600,21600">
          <v:path/>
          <v:fill on="f" focussize="0,0"/>
          <v:stroke on="f" joinstyle="miter"/>
          <v:imagedata o:title=""/>
          <o:lock v:ext="edit"/>
          <v:textbox inset="1mm,1mm,1mm,1mm" style="layout-flow:vertical-ideographic;mso-fit-shape-to-text:t;">
            <w:txbxContent>
              <w:p>
                <w:pPr>
                  <w:pStyle w:val="3"/>
                  <w:ind w:left="312" w:right="312"/>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8</w:t>
                </w:r>
                <w:r>
                  <w:rPr>
                    <w:rFonts w:hint="eastAsia" w:ascii="宋体" w:hAnsi="宋体"/>
                    <w:sz w:val="28"/>
                    <w:szCs w:val="28"/>
                  </w:rPr>
                  <w:fldChar w:fldCharType="end"/>
                </w:r>
                <w:r>
                  <w:rPr>
                    <w:rFonts w:hint="eastAsia" w:ascii="宋体" w:hAnsi="宋体"/>
                    <w:sz w:val="28"/>
                    <w:szCs w:val="28"/>
                  </w:rPr>
                  <w:t xml:space="preserve"> —</w:t>
                </w:r>
              </w:p>
            </w:txbxContent>
          </v:textbox>
          <w10:wrap type="squar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02972"/>
    <w:rsid w:val="000302B8"/>
    <w:rsid w:val="000437C5"/>
    <w:rsid w:val="00053C5C"/>
    <w:rsid w:val="000C700A"/>
    <w:rsid w:val="000E2BE8"/>
    <w:rsid w:val="0010209D"/>
    <w:rsid w:val="00142B32"/>
    <w:rsid w:val="00151288"/>
    <w:rsid w:val="001653FF"/>
    <w:rsid w:val="00181263"/>
    <w:rsid w:val="00196104"/>
    <w:rsid w:val="001B4F9B"/>
    <w:rsid w:val="001B6860"/>
    <w:rsid w:val="001C3D57"/>
    <w:rsid w:val="001D5880"/>
    <w:rsid w:val="001E69BF"/>
    <w:rsid w:val="002800C2"/>
    <w:rsid w:val="00290498"/>
    <w:rsid w:val="002E3976"/>
    <w:rsid w:val="00306772"/>
    <w:rsid w:val="003142F3"/>
    <w:rsid w:val="0031797B"/>
    <w:rsid w:val="00345AC1"/>
    <w:rsid w:val="00355655"/>
    <w:rsid w:val="0036168E"/>
    <w:rsid w:val="00362507"/>
    <w:rsid w:val="00372226"/>
    <w:rsid w:val="00373AA0"/>
    <w:rsid w:val="0037641E"/>
    <w:rsid w:val="00381A99"/>
    <w:rsid w:val="00387F16"/>
    <w:rsid w:val="003A6DD6"/>
    <w:rsid w:val="003D2A3F"/>
    <w:rsid w:val="003D35C4"/>
    <w:rsid w:val="003E7AB8"/>
    <w:rsid w:val="003F760F"/>
    <w:rsid w:val="00405DF6"/>
    <w:rsid w:val="00431616"/>
    <w:rsid w:val="00455973"/>
    <w:rsid w:val="004854B6"/>
    <w:rsid w:val="004A5CA5"/>
    <w:rsid w:val="004B39C7"/>
    <w:rsid w:val="004D262A"/>
    <w:rsid w:val="004D7DB3"/>
    <w:rsid w:val="004E3047"/>
    <w:rsid w:val="004F072D"/>
    <w:rsid w:val="00503D9A"/>
    <w:rsid w:val="0050444A"/>
    <w:rsid w:val="00511ACC"/>
    <w:rsid w:val="005343D7"/>
    <w:rsid w:val="00557A43"/>
    <w:rsid w:val="005869F5"/>
    <w:rsid w:val="005B30A3"/>
    <w:rsid w:val="00654C92"/>
    <w:rsid w:val="00656E60"/>
    <w:rsid w:val="006711E6"/>
    <w:rsid w:val="00671EF2"/>
    <w:rsid w:val="00686097"/>
    <w:rsid w:val="006A362E"/>
    <w:rsid w:val="006C3CCC"/>
    <w:rsid w:val="00706D1C"/>
    <w:rsid w:val="0079794F"/>
    <w:rsid w:val="007D0E71"/>
    <w:rsid w:val="007F2FEC"/>
    <w:rsid w:val="008057F7"/>
    <w:rsid w:val="00812229"/>
    <w:rsid w:val="00826417"/>
    <w:rsid w:val="00872A8C"/>
    <w:rsid w:val="008A3E76"/>
    <w:rsid w:val="008B2FCE"/>
    <w:rsid w:val="008B71C8"/>
    <w:rsid w:val="008C4789"/>
    <w:rsid w:val="008D56B7"/>
    <w:rsid w:val="008E1175"/>
    <w:rsid w:val="008F72D1"/>
    <w:rsid w:val="00915D06"/>
    <w:rsid w:val="00936F9D"/>
    <w:rsid w:val="00941C98"/>
    <w:rsid w:val="00980F76"/>
    <w:rsid w:val="009C720E"/>
    <w:rsid w:val="009D6B87"/>
    <w:rsid w:val="00A052C3"/>
    <w:rsid w:val="00A24844"/>
    <w:rsid w:val="00A30148"/>
    <w:rsid w:val="00A3068E"/>
    <w:rsid w:val="00A36500"/>
    <w:rsid w:val="00A40328"/>
    <w:rsid w:val="00A51056"/>
    <w:rsid w:val="00A57130"/>
    <w:rsid w:val="00A73E96"/>
    <w:rsid w:val="00AC3CC0"/>
    <w:rsid w:val="00B04559"/>
    <w:rsid w:val="00B155BD"/>
    <w:rsid w:val="00B26557"/>
    <w:rsid w:val="00B31A2E"/>
    <w:rsid w:val="00B74998"/>
    <w:rsid w:val="00B77276"/>
    <w:rsid w:val="00BB23EB"/>
    <w:rsid w:val="00BE5BEA"/>
    <w:rsid w:val="00C0451C"/>
    <w:rsid w:val="00C10975"/>
    <w:rsid w:val="00C204BC"/>
    <w:rsid w:val="00C3132C"/>
    <w:rsid w:val="00C31DE5"/>
    <w:rsid w:val="00C3298C"/>
    <w:rsid w:val="00C76A41"/>
    <w:rsid w:val="00C93C8C"/>
    <w:rsid w:val="00CA2442"/>
    <w:rsid w:val="00CA303F"/>
    <w:rsid w:val="00CC253B"/>
    <w:rsid w:val="00CC4525"/>
    <w:rsid w:val="00CC5177"/>
    <w:rsid w:val="00CC5BC9"/>
    <w:rsid w:val="00CD6F12"/>
    <w:rsid w:val="00CD722A"/>
    <w:rsid w:val="00CE1F19"/>
    <w:rsid w:val="00CF1C6D"/>
    <w:rsid w:val="00CF2BF0"/>
    <w:rsid w:val="00CF5F96"/>
    <w:rsid w:val="00DE5F57"/>
    <w:rsid w:val="00E009BF"/>
    <w:rsid w:val="00E06E84"/>
    <w:rsid w:val="00E25B75"/>
    <w:rsid w:val="00E47D27"/>
    <w:rsid w:val="00E54D46"/>
    <w:rsid w:val="00E71D2B"/>
    <w:rsid w:val="00E74F47"/>
    <w:rsid w:val="00E75AF1"/>
    <w:rsid w:val="00EE7E5B"/>
    <w:rsid w:val="00F02972"/>
    <w:rsid w:val="00F03CC3"/>
    <w:rsid w:val="00F07A97"/>
    <w:rsid w:val="00F1787A"/>
    <w:rsid w:val="00F56AB0"/>
    <w:rsid w:val="00F73285"/>
    <w:rsid w:val="00F86359"/>
    <w:rsid w:val="00FB664A"/>
    <w:rsid w:val="00FC1BB2"/>
    <w:rsid w:val="00FD4795"/>
    <w:rsid w:val="0BC32D78"/>
    <w:rsid w:val="12075C7D"/>
    <w:rsid w:val="2F190734"/>
    <w:rsid w:val="3B6F7A57"/>
    <w:rsid w:val="3D0913A3"/>
    <w:rsid w:val="47A57EB8"/>
    <w:rsid w:val="5D9F48D4"/>
    <w:rsid w:val="69D2457A"/>
    <w:rsid w:val="F77FEE59"/>
    <w:rsid w:val="FDFA2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0"/>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4260</Words>
  <Characters>377</Characters>
  <Lines>3</Lines>
  <Paragraphs>9</Paragraphs>
  <TotalTime>202</TotalTime>
  <ScaleCrop>false</ScaleCrop>
  <LinksUpToDate>false</LinksUpToDate>
  <CharactersWithSpaces>4628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2021-09-10T13:44:00Z</dcterms:created>
  <dc:creator>Think</dc:creator>
  <cp:lastModifiedBy>WPS_247158797</cp:lastModifiedBy>
  <cp:lastPrinted>2021-08-17T08:46:00Z</cp:lastPrinted>
  <dcterms:modified xsi:type="dcterms:W3CDTF">2021-10-09T09:06:53Z</dcterms:modified>
  <dc:title>关于进一步加强婴幼儿配方乳粉和特殊医学用途配方食品销售安全监督检查工作的通知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9614ADF23A1644CEB3AE2E03308F1AAE</vt:lpwstr>
  </property>
</Properties>
</file>