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75" w:beforeAutospacing="0" w:after="600" w:afterAutospacing="0"/>
        <w:ind w:left="0" w:right="0" w:firstLine="0"/>
        <w:jc w:val="center"/>
        <w:rPr>
          <w:rFonts w:hint="eastAsia" w:ascii="微软雅黑" w:hAnsi="微软雅黑" w:eastAsia="微软雅黑" w:cs="微软雅黑"/>
          <w:i w:val="0"/>
          <w:iCs w:val="0"/>
          <w:caps w:val="0"/>
          <w:color w:val="000000"/>
          <w:spacing w:val="0"/>
          <w:sz w:val="24"/>
          <w:szCs w:val="24"/>
          <w:bdr w:val="none" w:color="auto" w:sz="0" w:space="0"/>
        </w:rPr>
      </w:pPr>
      <w:r>
        <w:rPr>
          <w:rFonts w:hint="eastAsia" w:ascii="微软雅黑" w:hAnsi="微软雅黑" w:eastAsia="微软雅黑" w:cs="微软雅黑"/>
          <w:b w:val="0"/>
          <w:bCs w:val="0"/>
          <w:i w:val="0"/>
          <w:iCs w:val="0"/>
          <w:caps w:val="0"/>
          <w:color w:val="000000"/>
          <w:spacing w:val="0"/>
          <w:sz w:val="42"/>
          <w:szCs w:val="42"/>
          <w:bdr w:val="none" w:color="auto" w:sz="0" w:space="0"/>
        </w:rPr>
        <w:t>对十三届全国人大四次会议第6592号建议的答复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李翠枝代表：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eastAsia="zh-TW"/>
        </w:rPr>
        <w:t>您提出的关于打造国家数字化质量管理体系助推中国奶业振兴的建议收悉。经商教育部、市场监督管理总局，现答复如下。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eastAsia="zh-TW"/>
        </w:rPr>
        <w:t>一、关于政府牵头奶业质量大数据平台，实现奶业质量大数据共享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eastAsia="zh-TW"/>
        </w:rPr>
        <w:t>奶业产业链长、环节多，市场监管</w:t>
      </w:r>
      <w:r>
        <w:rPr>
          <w:rFonts w:hint="eastAsia" w:ascii="微软雅黑" w:hAnsi="微软雅黑" w:eastAsia="微软雅黑" w:cs="微软雅黑"/>
          <w:i w:val="0"/>
          <w:iCs w:val="0"/>
          <w:caps w:val="0"/>
          <w:color w:val="000000"/>
          <w:spacing w:val="0"/>
          <w:sz w:val="24"/>
          <w:szCs w:val="24"/>
          <w:bdr w:val="none" w:color="auto" w:sz="0" w:space="0"/>
        </w:rPr>
        <w:t>、</w:t>
      </w:r>
      <w:r>
        <w:rPr>
          <w:rFonts w:hint="eastAsia" w:ascii="微软雅黑" w:hAnsi="微软雅黑" w:eastAsia="微软雅黑" w:cs="微软雅黑"/>
          <w:i w:val="0"/>
          <w:iCs w:val="0"/>
          <w:caps w:val="0"/>
          <w:color w:val="000000"/>
          <w:spacing w:val="0"/>
          <w:sz w:val="24"/>
          <w:szCs w:val="24"/>
          <w:bdr w:val="none" w:color="auto" w:sz="0" w:space="0"/>
          <w:lang w:eastAsia="zh-TW"/>
        </w:rPr>
        <w:t>卫生健康、农业农村、工业和信息化等多个部门</w:t>
      </w:r>
      <w:r>
        <w:rPr>
          <w:rFonts w:hint="eastAsia" w:ascii="微软雅黑" w:hAnsi="微软雅黑" w:eastAsia="微软雅黑" w:cs="微软雅黑"/>
          <w:i w:val="0"/>
          <w:iCs w:val="0"/>
          <w:caps w:val="0"/>
          <w:color w:val="000000"/>
          <w:spacing w:val="0"/>
          <w:sz w:val="24"/>
          <w:szCs w:val="24"/>
          <w:bdr w:val="none" w:color="auto" w:sz="0" w:space="0"/>
        </w:rPr>
        <w:t>依法履行监管职责，并通过相互通报等方式进行质量安全数据共享。乳品生产企业及相关技术机构掌握的大量关于乳品生产、产品分类等乳品质量数据，涉及商业秘密，目前没有督促报送的法律依据。总的看，建立国家级奶业质量大数据平台涉及的部门和主体多，目前条件还不成熟。</w:t>
      </w:r>
      <w:r>
        <w:rPr>
          <w:rFonts w:hint="eastAsia" w:ascii="微软雅黑" w:hAnsi="微软雅黑" w:eastAsia="微软雅黑" w:cs="微软雅黑"/>
          <w:i w:val="0"/>
          <w:iCs w:val="0"/>
          <w:caps w:val="0"/>
          <w:color w:val="000000"/>
          <w:spacing w:val="0"/>
          <w:sz w:val="24"/>
          <w:szCs w:val="24"/>
          <w:bdr w:val="none" w:color="auto" w:sz="0" w:space="0"/>
          <w:lang w:eastAsia="zh-TW"/>
        </w:rPr>
        <w:t>下一步，</w:t>
      </w:r>
      <w:r>
        <w:rPr>
          <w:rFonts w:hint="eastAsia" w:ascii="微软雅黑" w:hAnsi="微软雅黑" w:eastAsia="微软雅黑" w:cs="微软雅黑"/>
          <w:i w:val="0"/>
          <w:iCs w:val="0"/>
          <w:caps w:val="0"/>
          <w:color w:val="000000"/>
          <w:spacing w:val="0"/>
          <w:sz w:val="24"/>
          <w:szCs w:val="24"/>
          <w:bdr w:val="none" w:color="auto" w:sz="0" w:space="0"/>
        </w:rPr>
        <w:t>各有关部门将积极采取措施，推进</w:t>
      </w:r>
      <w:r>
        <w:rPr>
          <w:rFonts w:hint="eastAsia" w:ascii="微软雅黑" w:hAnsi="微软雅黑" w:eastAsia="微软雅黑" w:cs="微软雅黑"/>
          <w:i w:val="0"/>
          <w:iCs w:val="0"/>
          <w:caps w:val="0"/>
          <w:color w:val="000000"/>
          <w:spacing w:val="0"/>
          <w:sz w:val="24"/>
          <w:szCs w:val="24"/>
          <w:bdr w:val="none" w:color="auto" w:sz="0" w:space="0"/>
          <w:lang w:eastAsia="zh-TW"/>
        </w:rPr>
        <w:t>奶业质量大数据共建共享。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eastAsia="zh-TW"/>
        </w:rPr>
        <w:t>二、关于从食品健康行业试点将全生命周期管理纳入国家数字化质量管理体系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近年来，农业农村部不断完善全国生鲜乳收购站运输车监管信息系统，精准掌握生鲜乳收购站、运输车持证运营情况并实行全覆盖监测，落实养殖者主体责任，加强饲料、兽药等投入品使用监管，推动各地落实生鲜乳收购站、运输车专人监管制度，确保监管频次。其中，对婴配粉奶源涉及的收购站、运输车和奶牛场全部建档，重点监管，构建起婴配粉奶源质量安全追溯体系。</w:t>
      </w:r>
      <w:r>
        <w:rPr>
          <w:rFonts w:hint="eastAsia" w:ascii="微软雅黑" w:hAnsi="微软雅黑" w:eastAsia="微软雅黑" w:cs="微软雅黑"/>
          <w:i w:val="0"/>
          <w:iCs w:val="0"/>
          <w:caps w:val="0"/>
          <w:color w:val="000000"/>
          <w:spacing w:val="0"/>
          <w:sz w:val="24"/>
          <w:szCs w:val="24"/>
          <w:bdr w:val="none" w:color="auto" w:sz="0" w:space="0"/>
          <w:lang w:eastAsia="zh-TW"/>
        </w:rPr>
        <w:t>下一步，农业农村部将</w:t>
      </w:r>
      <w:r>
        <w:rPr>
          <w:rFonts w:hint="eastAsia" w:ascii="微软雅黑" w:hAnsi="微软雅黑" w:eastAsia="微软雅黑" w:cs="微软雅黑"/>
          <w:i w:val="0"/>
          <w:iCs w:val="0"/>
          <w:caps w:val="0"/>
          <w:color w:val="000000"/>
          <w:spacing w:val="0"/>
          <w:sz w:val="24"/>
          <w:szCs w:val="24"/>
          <w:bdr w:val="none" w:color="auto" w:sz="0" w:space="0"/>
        </w:rPr>
        <w:t>积极践行全生命周期管理理念，</w:t>
      </w:r>
      <w:r>
        <w:rPr>
          <w:rFonts w:hint="eastAsia" w:ascii="微软雅黑" w:hAnsi="微软雅黑" w:eastAsia="微软雅黑" w:cs="微软雅黑"/>
          <w:i w:val="0"/>
          <w:iCs w:val="0"/>
          <w:caps w:val="0"/>
          <w:color w:val="000000"/>
          <w:spacing w:val="0"/>
          <w:sz w:val="24"/>
          <w:szCs w:val="24"/>
          <w:bdr w:val="none" w:color="auto" w:sz="0" w:space="0"/>
          <w:lang w:eastAsia="zh-TW"/>
        </w:rPr>
        <w:t>会同有关部门，继续</w:t>
      </w:r>
      <w:r>
        <w:rPr>
          <w:rFonts w:hint="eastAsia" w:ascii="微软雅黑" w:hAnsi="微软雅黑" w:eastAsia="微软雅黑" w:cs="微软雅黑"/>
          <w:i w:val="0"/>
          <w:iCs w:val="0"/>
          <w:caps w:val="0"/>
          <w:color w:val="000000"/>
          <w:spacing w:val="0"/>
          <w:sz w:val="24"/>
          <w:szCs w:val="24"/>
          <w:bdr w:val="none" w:color="auto" w:sz="0" w:space="0"/>
        </w:rPr>
        <w:t>推进</w:t>
      </w:r>
      <w:r>
        <w:rPr>
          <w:rFonts w:hint="eastAsia" w:ascii="微软雅黑" w:hAnsi="微软雅黑" w:eastAsia="微软雅黑" w:cs="微软雅黑"/>
          <w:i w:val="0"/>
          <w:iCs w:val="0"/>
          <w:caps w:val="0"/>
          <w:color w:val="000000"/>
          <w:spacing w:val="0"/>
          <w:sz w:val="24"/>
          <w:szCs w:val="24"/>
          <w:bdr w:val="none" w:color="auto" w:sz="0" w:space="0"/>
          <w:lang w:eastAsia="zh-TW"/>
        </w:rPr>
        <w:t>奶业全链条质量</w:t>
      </w:r>
      <w:r>
        <w:rPr>
          <w:rFonts w:hint="eastAsia" w:ascii="微软雅黑" w:hAnsi="微软雅黑" w:eastAsia="微软雅黑" w:cs="微软雅黑"/>
          <w:i w:val="0"/>
          <w:iCs w:val="0"/>
          <w:caps w:val="0"/>
          <w:color w:val="000000"/>
          <w:spacing w:val="0"/>
          <w:sz w:val="24"/>
          <w:szCs w:val="24"/>
          <w:bdr w:val="none" w:color="auto" w:sz="0" w:space="0"/>
        </w:rPr>
        <w:t>管理</w:t>
      </w:r>
      <w:r>
        <w:rPr>
          <w:rFonts w:hint="eastAsia" w:ascii="微软雅黑" w:hAnsi="微软雅黑" w:eastAsia="微软雅黑" w:cs="微软雅黑"/>
          <w:i w:val="0"/>
          <w:iCs w:val="0"/>
          <w:caps w:val="0"/>
          <w:color w:val="000000"/>
          <w:spacing w:val="0"/>
          <w:sz w:val="24"/>
          <w:szCs w:val="24"/>
          <w:bdr w:val="none" w:color="auto" w:sz="0" w:space="0"/>
          <w:lang w:eastAsia="zh-TW"/>
        </w:rPr>
        <w:t>，</w:t>
      </w:r>
      <w:r>
        <w:rPr>
          <w:rFonts w:hint="eastAsia" w:ascii="微软雅黑" w:hAnsi="微软雅黑" w:eastAsia="微软雅黑" w:cs="微软雅黑"/>
          <w:i w:val="0"/>
          <w:iCs w:val="0"/>
          <w:caps w:val="0"/>
          <w:color w:val="000000"/>
          <w:spacing w:val="0"/>
          <w:sz w:val="24"/>
          <w:szCs w:val="24"/>
          <w:bdr w:val="none" w:color="auto" w:sz="0" w:space="0"/>
        </w:rPr>
        <w:t>不断</w:t>
      </w:r>
      <w:r>
        <w:rPr>
          <w:rFonts w:hint="eastAsia" w:ascii="微软雅黑" w:hAnsi="微软雅黑" w:eastAsia="微软雅黑" w:cs="微软雅黑"/>
          <w:i w:val="0"/>
          <w:iCs w:val="0"/>
          <w:caps w:val="0"/>
          <w:color w:val="000000"/>
          <w:spacing w:val="0"/>
          <w:sz w:val="24"/>
          <w:szCs w:val="24"/>
          <w:bdr w:val="none" w:color="auto" w:sz="0" w:space="0"/>
          <w:lang w:eastAsia="zh-TW"/>
        </w:rPr>
        <w:t>完善可追溯体系数据</w:t>
      </w:r>
      <w:r>
        <w:rPr>
          <w:rFonts w:hint="eastAsia" w:ascii="微软雅黑" w:hAnsi="微软雅黑" w:eastAsia="微软雅黑" w:cs="微软雅黑"/>
          <w:i w:val="0"/>
          <w:iCs w:val="0"/>
          <w:caps w:val="0"/>
          <w:color w:val="000000"/>
          <w:spacing w:val="0"/>
          <w:sz w:val="24"/>
          <w:szCs w:val="24"/>
          <w:bdr w:val="none" w:color="auto" w:sz="0" w:space="0"/>
        </w:rPr>
        <w:t>，进一步提升乳品质量安全保障能力</w:t>
      </w:r>
      <w:r>
        <w:rPr>
          <w:rFonts w:hint="eastAsia" w:ascii="微软雅黑" w:hAnsi="微软雅黑" w:eastAsia="微软雅黑" w:cs="微软雅黑"/>
          <w:i w:val="0"/>
          <w:iCs w:val="0"/>
          <w:caps w:val="0"/>
          <w:color w:val="000000"/>
          <w:spacing w:val="0"/>
          <w:sz w:val="24"/>
          <w:szCs w:val="24"/>
          <w:bdr w:val="none" w:color="auto" w:sz="0" w:space="0"/>
          <w:lang w:eastAsia="zh-TW"/>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eastAsia="zh-TW"/>
        </w:rPr>
        <w:t>三、关于政府将可追溯体系向科研、管理、质检等专业领域拓展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近年来，农业农村部以信息化作为拓展奶业</w:t>
      </w:r>
      <w:r>
        <w:rPr>
          <w:rFonts w:hint="eastAsia" w:ascii="微软雅黑" w:hAnsi="微软雅黑" w:eastAsia="微软雅黑" w:cs="微软雅黑"/>
          <w:i w:val="0"/>
          <w:iCs w:val="0"/>
          <w:caps w:val="0"/>
          <w:color w:val="000000"/>
          <w:spacing w:val="0"/>
          <w:sz w:val="24"/>
          <w:szCs w:val="24"/>
          <w:bdr w:val="none" w:color="auto" w:sz="0" w:space="0"/>
          <w:lang w:eastAsia="zh-TW"/>
        </w:rPr>
        <w:t>可追溯体系</w:t>
      </w:r>
      <w:r>
        <w:rPr>
          <w:rFonts w:hint="eastAsia" w:ascii="微软雅黑" w:hAnsi="微软雅黑" w:eastAsia="微软雅黑" w:cs="微软雅黑"/>
          <w:i w:val="0"/>
          <w:iCs w:val="0"/>
          <w:caps w:val="0"/>
          <w:color w:val="000000"/>
          <w:spacing w:val="0"/>
          <w:sz w:val="24"/>
          <w:szCs w:val="24"/>
          <w:bdr w:val="none" w:color="auto" w:sz="0" w:space="0"/>
        </w:rPr>
        <w:t>的重要抓手，启动实施</w:t>
      </w:r>
      <w:r>
        <w:rPr>
          <w:rFonts w:hint="eastAsia" w:ascii="微软雅黑" w:hAnsi="微软雅黑" w:eastAsia="微软雅黑" w:cs="微软雅黑"/>
          <w:i w:val="0"/>
          <w:iCs w:val="0"/>
          <w:caps w:val="0"/>
          <w:color w:val="000000"/>
          <w:spacing w:val="0"/>
          <w:sz w:val="24"/>
          <w:szCs w:val="24"/>
          <w:bdr w:val="none" w:color="auto" w:sz="0" w:space="0"/>
          <w:lang w:eastAsia="zh-TW"/>
        </w:rPr>
        <w:t>“</w:t>
      </w:r>
      <w:r>
        <w:rPr>
          <w:rFonts w:hint="eastAsia" w:ascii="微软雅黑" w:hAnsi="微软雅黑" w:eastAsia="微软雅黑" w:cs="微软雅黑"/>
          <w:i w:val="0"/>
          <w:iCs w:val="0"/>
          <w:caps w:val="0"/>
          <w:color w:val="000000"/>
          <w:spacing w:val="0"/>
          <w:sz w:val="24"/>
          <w:szCs w:val="24"/>
          <w:bdr w:val="none" w:color="auto" w:sz="0" w:space="0"/>
        </w:rPr>
        <w:t>全国数字奶业信息服务云平台</w:t>
      </w:r>
      <w:r>
        <w:rPr>
          <w:rFonts w:hint="eastAsia" w:ascii="微软雅黑" w:hAnsi="微软雅黑" w:eastAsia="微软雅黑" w:cs="微软雅黑"/>
          <w:i w:val="0"/>
          <w:iCs w:val="0"/>
          <w:caps w:val="0"/>
          <w:color w:val="000000"/>
          <w:spacing w:val="0"/>
          <w:sz w:val="24"/>
          <w:szCs w:val="24"/>
          <w:bdr w:val="none" w:color="auto" w:sz="0" w:space="0"/>
          <w:lang w:eastAsia="zh-TW"/>
        </w:rPr>
        <w:t>”</w:t>
      </w:r>
      <w:r>
        <w:rPr>
          <w:rFonts w:hint="eastAsia" w:ascii="微软雅黑" w:hAnsi="微软雅黑" w:eastAsia="微软雅黑" w:cs="微软雅黑"/>
          <w:i w:val="0"/>
          <w:iCs w:val="0"/>
          <w:caps w:val="0"/>
          <w:color w:val="000000"/>
          <w:spacing w:val="0"/>
          <w:sz w:val="24"/>
          <w:szCs w:val="24"/>
          <w:bdr w:val="none" w:color="auto" w:sz="0" w:space="0"/>
        </w:rPr>
        <w:t>建设，在部分主产省开展试点，利用物联网技术，对接奶牛养殖场智能管理软件，与全混合日粮智能饲喂、自动发情监测、奶牛身份识别、挤奶自动计量、奶车定位等技术结合，逐步实现养殖场、奶站和乳品企业等基础数据信息的自动化采集和互联互通，有效提升了奶牛养殖和运输环节的精细化管理水平。</w:t>
      </w:r>
      <w:r>
        <w:rPr>
          <w:rFonts w:hint="eastAsia" w:ascii="微软雅黑" w:hAnsi="微软雅黑" w:eastAsia="微软雅黑" w:cs="微软雅黑"/>
          <w:i w:val="0"/>
          <w:iCs w:val="0"/>
          <w:caps w:val="0"/>
          <w:color w:val="000000"/>
          <w:spacing w:val="0"/>
          <w:sz w:val="24"/>
          <w:szCs w:val="24"/>
          <w:bdr w:val="none" w:color="auto" w:sz="0" w:space="0"/>
          <w:lang w:eastAsia="zh-TW"/>
        </w:rPr>
        <w:t>下一步，农业农村部将会同有关部门，继续</w:t>
      </w:r>
      <w:r>
        <w:rPr>
          <w:rFonts w:hint="eastAsia" w:ascii="微软雅黑" w:hAnsi="微软雅黑" w:eastAsia="微软雅黑" w:cs="微软雅黑"/>
          <w:i w:val="0"/>
          <w:iCs w:val="0"/>
          <w:caps w:val="0"/>
          <w:color w:val="000000"/>
          <w:spacing w:val="0"/>
          <w:sz w:val="24"/>
          <w:szCs w:val="24"/>
          <w:bdr w:val="none" w:color="auto" w:sz="0" w:space="0"/>
        </w:rPr>
        <w:t>推进</w:t>
      </w:r>
      <w:r>
        <w:rPr>
          <w:rFonts w:hint="eastAsia" w:ascii="微软雅黑" w:hAnsi="微软雅黑" w:eastAsia="微软雅黑" w:cs="微软雅黑"/>
          <w:i w:val="0"/>
          <w:iCs w:val="0"/>
          <w:caps w:val="0"/>
          <w:color w:val="000000"/>
          <w:spacing w:val="0"/>
          <w:sz w:val="24"/>
          <w:szCs w:val="24"/>
          <w:bdr w:val="none" w:color="auto" w:sz="0" w:space="0"/>
          <w:lang w:eastAsia="zh-TW"/>
        </w:rPr>
        <w:t>可追溯体系</w:t>
      </w:r>
      <w:r>
        <w:rPr>
          <w:rFonts w:hint="eastAsia" w:ascii="微软雅黑" w:hAnsi="微软雅黑" w:eastAsia="微软雅黑" w:cs="微软雅黑"/>
          <w:i w:val="0"/>
          <w:iCs w:val="0"/>
          <w:caps w:val="0"/>
          <w:color w:val="000000"/>
          <w:spacing w:val="0"/>
          <w:sz w:val="24"/>
          <w:szCs w:val="24"/>
          <w:bdr w:val="none" w:color="auto" w:sz="0" w:space="0"/>
        </w:rPr>
        <w:t>在奶业生产管理领域的拓展</w:t>
      </w:r>
      <w:r>
        <w:rPr>
          <w:rFonts w:hint="eastAsia" w:ascii="微软雅黑" w:hAnsi="微软雅黑" w:eastAsia="微软雅黑" w:cs="微软雅黑"/>
          <w:i w:val="0"/>
          <w:iCs w:val="0"/>
          <w:caps w:val="0"/>
          <w:color w:val="000000"/>
          <w:spacing w:val="0"/>
          <w:sz w:val="24"/>
          <w:szCs w:val="24"/>
          <w:bdr w:val="none" w:color="auto" w:sz="0" w:space="0"/>
          <w:lang w:eastAsia="zh-TW"/>
        </w:rPr>
        <w:t>，</w:t>
      </w:r>
      <w:r>
        <w:rPr>
          <w:rFonts w:hint="eastAsia" w:ascii="微软雅黑" w:hAnsi="微软雅黑" w:eastAsia="微软雅黑" w:cs="微软雅黑"/>
          <w:i w:val="0"/>
          <w:iCs w:val="0"/>
          <w:caps w:val="0"/>
          <w:color w:val="000000"/>
          <w:spacing w:val="0"/>
          <w:sz w:val="24"/>
          <w:szCs w:val="24"/>
          <w:bdr w:val="none" w:color="auto" w:sz="0" w:space="0"/>
        </w:rPr>
        <w:t>逐步扩大追溯体系覆盖范围</w:t>
      </w:r>
      <w:r>
        <w:rPr>
          <w:rFonts w:hint="eastAsia" w:ascii="微软雅黑" w:hAnsi="微软雅黑" w:eastAsia="微软雅黑" w:cs="微软雅黑"/>
          <w:i w:val="0"/>
          <w:iCs w:val="0"/>
          <w:caps w:val="0"/>
          <w:color w:val="000000"/>
          <w:spacing w:val="0"/>
          <w:sz w:val="24"/>
          <w:szCs w:val="24"/>
          <w:bdr w:val="none" w:color="auto" w:sz="0" w:space="0"/>
          <w:lang w:eastAsia="zh-TW"/>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eastAsia="zh-TW"/>
        </w:rPr>
        <w:t>四、关于国家从教育机制和体制上出发加快大数据复合型人才培养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eastAsia="zh-TW"/>
        </w:rPr>
        <w:t>教育部高度重视数据人才培养</w:t>
      </w:r>
      <w:r>
        <w:rPr>
          <w:rFonts w:hint="eastAsia" w:ascii="微软雅黑" w:hAnsi="微软雅黑" w:eastAsia="微软雅黑" w:cs="微软雅黑"/>
          <w:i w:val="0"/>
          <w:iCs w:val="0"/>
          <w:caps w:val="0"/>
          <w:color w:val="000000"/>
          <w:spacing w:val="0"/>
          <w:sz w:val="24"/>
          <w:szCs w:val="24"/>
          <w:bdr w:val="none" w:color="auto" w:sz="0" w:space="0"/>
        </w:rPr>
        <w:t>，积极采取措施，完善大数据领域学科专业布局，深入实施产学合作，为打造国家数字化质量管理体系提供人才支撑</w:t>
      </w:r>
      <w:r>
        <w:rPr>
          <w:rFonts w:hint="eastAsia" w:ascii="微软雅黑" w:hAnsi="微软雅黑" w:eastAsia="微软雅黑" w:cs="微软雅黑"/>
          <w:i w:val="0"/>
          <w:iCs w:val="0"/>
          <w:caps w:val="0"/>
          <w:color w:val="000000"/>
          <w:spacing w:val="0"/>
          <w:sz w:val="24"/>
          <w:szCs w:val="24"/>
          <w:bdr w:val="none" w:color="auto" w:sz="0" w:space="0"/>
          <w:lang w:eastAsia="zh-TW"/>
        </w:rPr>
        <w:t>。一是完善大数据学科布局。引导高校加大大数据相关学科专业设置，加快培养社会急需人才。截至目前，共有40多个学位授予单位设置本科专业点680个。二是加强大数据领域专业建设。研究制定《计算机类专业教学质量国家标准》，推进人才培养质量不断提升；启动一流专业建设“双万计划”，推动专业办学质量提升。三是推进大数据领域一流课程建设。组织认定清华大学《高级大数据系统》、重庆邮电大学《大数据分析与处理》等8门大数据相关课程为国家级一流本科课程。四是深入实施产学合作协同育人项目。组织企业实施产学合作协同育人项目，以产业和技术发展的最新需求推动高校人才培养。2020年，组织认定产学合作协同育人项目1000余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eastAsia="zh-TW"/>
        </w:rPr>
        <w:t>下一步，教育部将</w:t>
      </w:r>
      <w:r>
        <w:rPr>
          <w:rFonts w:hint="eastAsia" w:ascii="微软雅黑" w:hAnsi="微软雅黑" w:eastAsia="微软雅黑" w:cs="微软雅黑"/>
          <w:i w:val="0"/>
          <w:iCs w:val="0"/>
          <w:caps w:val="0"/>
          <w:color w:val="000000"/>
          <w:spacing w:val="0"/>
          <w:sz w:val="24"/>
          <w:szCs w:val="24"/>
          <w:bdr w:val="none" w:color="auto" w:sz="0" w:space="0"/>
        </w:rPr>
        <w:t>继续鼓励高校加强相关学科专业建设，进一步推动优质课程建设与应用共享，持续深化产学合作，提升人才培养质量。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eastAsia="zh-TW"/>
        </w:rPr>
        <w:t>感谢您对我部工作的关心，希望继续对三农工作</w:t>
      </w:r>
      <w:r>
        <w:rPr>
          <w:rFonts w:hint="eastAsia" w:ascii="微软雅黑" w:hAnsi="微软雅黑" w:eastAsia="微软雅黑" w:cs="微软雅黑"/>
          <w:i w:val="0"/>
          <w:iCs w:val="0"/>
          <w:caps w:val="0"/>
          <w:color w:val="000000"/>
          <w:spacing w:val="0"/>
          <w:sz w:val="24"/>
          <w:szCs w:val="24"/>
          <w:bdr w:val="none" w:color="auto" w:sz="0" w:space="0"/>
        </w:rPr>
        <w:t>给予</w:t>
      </w:r>
      <w:r>
        <w:rPr>
          <w:rFonts w:hint="eastAsia" w:ascii="微软雅黑" w:hAnsi="微软雅黑" w:eastAsia="微软雅黑" w:cs="微软雅黑"/>
          <w:i w:val="0"/>
          <w:iCs w:val="0"/>
          <w:caps w:val="0"/>
          <w:color w:val="000000"/>
          <w:spacing w:val="0"/>
          <w:sz w:val="24"/>
          <w:szCs w:val="24"/>
          <w:bdr w:val="none" w:color="auto" w:sz="0" w:space="0"/>
          <w:lang w:eastAsia="zh-TW"/>
        </w:rPr>
        <w:t>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eastAsia="zh-TW"/>
        </w:rPr>
        <w:t>联系单位及电话：农业农村部畜牧兽医局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val="en-US"/>
        </w:rPr>
        <w:t>010</w:t>
      </w:r>
      <w:r>
        <w:rPr>
          <w:rFonts w:hint="eastAsia" w:ascii="微软雅黑" w:hAnsi="微软雅黑" w:eastAsia="微软雅黑" w:cs="微软雅黑"/>
          <w:i w:val="0"/>
          <w:iCs w:val="0"/>
          <w:caps w:val="0"/>
          <w:color w:val="000000"/>
          <w:spacing w:val="0"/>
          <w:sz w:val="24"/>
          <w:szCs w:val="24"/>
          <w:bdr w:val="none" w:color="auto" w:sz="0" w:space="0"/>
          <w:lang w:eastAsia="zh-TW"/>
        </w:rPr>
        <w:t>-</w:t>
      </w:r>
      <w:r>
        <w:rPr>
          <w:rFonts w:hint="eastAsia" w:ascii="微软雅黑" w:hAnsi="微软雅黑" w:eastAsia="微软雅黑" w:cs="微软雅黑"/>
          <w:i w:val="0"/>
          <w:iCs w:val="0"/>
          <w:caps w:val="0"/>
          <w:color w:val="000000"/>
          <w:spacing w:val="0"/>
          <w:sz w:val="24"/>
          <w:szCs w:val="24"/>
          <w:bdr w:val="none" w:color="auto" w:sz="0" w:space="0"/>
          <w:lang w:val="en-US"/>
        </w:rPr>
        <w:t>59193372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eastAsia="zh-TW"/>
        </w:rPr>
        <w:t>                                              </w:t>
      </w:r>
      <w:r>
        <w:rPr>
          <w:rFonts w:hint="eastAsia" w:ascii="微软雅黑" w:hAnsi="微软雅黑" w:eastAsia="微软雅黑" w:cs="微软雅黑"/>
          <w:i w:val="0"/>
          <w:iCs w:val="0"/>
          <w:caps w:val="0"/>
          <w:color w:val="000000"/>
          <w:spacing w:val="0"/>
          <w:sz w:val="24"/>
          <w:szCs w:val="24"/>
          <w:bdr w:val="none" w:color="auto" w:sz="0" w:space="0"/>
          <w:lang w:val="en-US"/>
        </w:rPr>
        <w:t>        </w:t>
      </w:r>
      <w:r>
        <w:rPr>
          <w:rFonts w:hint="eastAsia" w:ascii="微软雅黑" w:hAnsi="微软雅黑" w:eastAsia="微软雅黑" w:cs="微软雅黑"/>
          <w:i w:val="0"/>
          <w:iCs w:val="0"/>
          <w:caps w:val="0"/>
          <w:color w:val="000000"/>
          <w:spacing w:val="0"/>
          <w:sz w:val="24"/>
          <w:szCs w:val="24"/>
          <w:bdr w:val="none" w:color="auto" w:sz="0" w:space="0"/>
          <w:lang w:eastAsia="zh-TW"/>
        </w:rPr>
        <w:t>      </w:t>
      </w: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eastAsia="zh-TW"/>
        </w:rPr>
        <w:t>                                              </w:t>
      </w:r>
      <w:r>
        <w:rPr>
          <w:rFonts w:hint="eastAsia" w:ascii="微软雅黑" w:hAnsi="微软雅黑" w:eastAsia="微软雅黑" w:cs="微软雅黑"/>
          <w:i w:val="0"/>
          <w:iCs w:val="0"/>
          <w:caps w:val="0"/>
          <w:color w:val="000000"/>
          <w:spacing w:val="0"/>
          <w:sz w:val="24"/>
          <w:szCs w:val="24"/>
          <w:bdr w:val="none" w:color="auto" w:sz="0" w:space="0"/>
          <w:lang w:val="en-US"/>
        </w:rPr>
        <w:t>        </w:t>
      </w:r>
      <w:r>
        <w:rPr>
          <w:rFonts w:hint="eastAsia" w:ascii="微软雅黑" w:hAnsi="微软雅黑" w:eastAsia="微软雅黑" w:cs="微软雅黑"/>
          <w:i w:val="0"/>
          <w:iCs w:val="0"/>
          <w:caps w:val="0"/>
          <w:color w:val="000000"/>
          <w:spacing w:val="0"/>
          <w:sz w:val="24"/>
          <w:szCs w:val="24"/>
          <w:bdr w:val="none" w:color="auto" w:sz="0" w:space="0"/>
          <w:lang w:eastAsia="zh-TW"/>
        </w:rPr>
        <w:t>      </w:t>
      </w: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eastAsia="zh-TW"/>
        </w:rPr>
        <w:t>                    </w:t>
      </w:r>
      <w:r>
        <w:rPr>
          <w:rFonts w:hint="eastAsia" w:ascii="微软雅黑" w:hAnsi="微软雅黑" w:eastAsia="微软雅黑" w:cs="微软雅黑"/>
          <w:i w:val="0"/>
          <w:iCs w:val="0"/>
          <w:caps w:val="0"/>
          <w:color w:val="000000"/>
          <w:spacing w:val="0"/>
          <w:sz w:val="24"/>
          <w:szCs w:val="24"/>
          <w:bdr w:val="none" w:color="auto" w:sz="0" w:space="0"/>
        </w:rPr>
        <w:t>农业农村部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firstLine="0"/>
        <w:jc w:val="right"/>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val="en-US"/>
        </w:rPr>
        <w:t>                                                          </w:t>
      </w: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eastAsia="zh-TW"/>
        </w:rPr>
        <w:t>                                              </w:t>
      </w:r>
      <w:r>
        <w:rPr>
          <w:rFonts w:hint="eastAsia" w:ascii="微软雅黑" w:hAnsi="微软雅黑" w:eastAsia="微软雅黑" w:cs="微软雅黑"/>
          <w:i w:val="0"/>
          <w:iCs w:val="0"/>
          <w:caps w:val="0"/>
          <w:color w:val="000000"/>
          <w:spacing w:val="0"/>
          <w:sz w:val="24"/>
          <w:szCs w:val="24"/>
          <w:bdr w:val="none" w:color="auto" w:sz="0" w:space="0"/>
          <w:lang w:val="en-US"/>
        </w:rPr>
        <w:t>        </w:t>
      </w:r>
      <w:r>
        <w:rPr>
          <w:rFonts w:hint="eastAsia" w:ascii="微软雅黑" w:hAnsi="微软雅黑" w:eastAsia="微软雅黑" w:cs="微软雅黑"/>
          <w:i w:val="0"/>
          <w:iCs w:val="0"/>
          <w:caps w:val="0"/>
          <w:color w:val="000000"/>
          <w:spacing w:val="0"/>
          <w:sz w:val="24"/>
          <w:szCs w:val="24"/>
          <w:bdr w:val="none" w:color="auto" w:sz="0" w:space="0"/>
          <w:lang w:eastAsia="zh-TW"/>
        </w:rPr>
        <w:t>      </w:t>
      </w: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微软雅黑" w:hAnsi="微软雅黑" w:eastAsia="微软雅黑" w:cs="微软雅黑"/>
          <w:i w:val="0"/>
          <w:iCs w:val="0"/>
          <w:caps w:val="0"/>
          <w:color w:val="000000"/>
          <w:spacing w:val="0"/>
          <w:sz w:val="24"/>
          <w:szCs w:val="24"/>
          <w:bdr w:val="none" w:color="auto" w:sz="0" w:space="0"/>
          <w:lang w:eastAsia="zh-TW"/>
        </w:rPr>
        <w:t>                   </w:t>
      </w:r>
      <w:r>
        <w:rPr>
          <w:rFonts w:hint="eastAsia" w:ascii="微软雅黑" w:hAnsi="微软雅黑" w:eastAsia="微软雅黑" w:cs="微软雅黑"/>
          <w:i w:val="0"/>
          <w:iCs w:val="0"/>
          <w:caps w:val="0"/>
          <w:color w:val="000000"/>
          <w:spacing w:val="0"/>
          <w:sz w:val="24"/>
          <w:szCs w:val="24"/>
          <w:bdr w:val="none" w:color="auto" w:sz="0" w:space="0"/>
          <w:lang w:val="en-US"/>
        </w:rPr>
        <w:t>2021</w:t>
      </w:r>
      <w:r>
        <w:rPr>
          <w:rFonts w:hint="eastAsia" w:ascii="微软雅黑" w:hAnsi="微软雅黑" w:eastAsia="微软雅黑" w:cs="微软雅黑"/>
          <w:i w:val="0"/>
          <w:iCs w:val="0"/>
          <w:caps w:val="0"/>
          <w:color w:val="000000"/>
          <w:spacing w:val="0"/>
          <w:sz w:val="24"/>
          <w:szCs w:val="24"/>
          <w:bdr w:val="none" w:color="auto" w:sz="0" w:space="0"/>
          <w:lang w:eastAsia="zh-TW"/>
        </w:rPr>
        <w:t>年</w:t>
      </w:r>
      <w:r>
        <w:rPr>
          <w:rFonts w:hint="eastAsia" w:ascii="微软雅黑" w:hAnsi="微软雅黑" w:eastAsia="微软雅黑" w:cs="微软雅黑"/>
          <w:i w:val="0"/>
          <w:iCs w:val="0"/>
          <w:caps w:val="0"/>
          <w:color w:val="000000"/>
          <w:spacing w:val="0"/>
          <w:sz w:val="24"/>
          <w:szCs w:val="24"/>
          <w:bdr w:val="none" w:color="auto" w:sz="0" w:space="0"/>
          <w:lang w:val="en-US"/>
        </w:rPr>
        <w:t>9</w:t>
      </w:r>
      <w:r>
        <w:rPr>
          <w:rFonts w:hint="eastAsia" w:ascii="微软雅黑" w:hAnsi="微软雅黑" w:eastAsia="微软雅黑" w:cs="微软雅黑"/>
          <w:i w:val="0"/>
          <w:iCs w:val="0"/>
          <w:caps w:val="0"/>
          <w:color w:val="000000"/>
          <w:spacing w:val="0"/>
          <w:sz w:val="24"/>
          <w:szCs w:val="24"/>
          <w:bdr w:val="none" w:color="auto" w:sz="0" w:space="0"/>
          <w:lang w:eastAsia="zh-TW"/>
        </w:rPr>
        <w:t>月</w:t>
      </w:r>
      <w:r>
        <w:rPr>
          <w:rFonts w:hint="eastAsia" w:ascii="微软雅黑" w:hAnsi="微软雅黑" w:eastAsia="微软雅黑" w:cs="微软雅黑"/>
          <w:i w:val="0"/>
          <w:iCs w:val="0"/>
          <w:caps w:val="0"/>
          <w:color w:val="000000"/>
          <w:spacing w:val="0"/>
          <w:sz w:val="24"/>
          <w:szCs w:val="24"/>
          <w:bdr w:val="none" w:color="auto" w:sz="0" w:space="0"/>
          <w:lang w:val="en-US"/>
        </w:rPr>
        <w:t>1</w:t>
      </w:r>
      <w:r>
        <w:rPr>
          <w:rFonts w:hint="eastAsia" w:ascii="微软雅黑" w:hAnsi="微软雅黑" w:eastAsia="微软雅黑" w:cs="微软雅黑"/>
          <w:i w:val="0"/>
          <w:iCs w:val="0"/>
          <w:caps w:val="0"/>
          <w:color w:val="000000"/>
          <w:spacing w:val="0"/>
          <w:sz w:val="24"/>
          <w:szCs w:val="24"/>
          <w:bdr w:val="none" w:color="auto" w:sz="0" w:space="0"/>
          <w:lang w:eastAsia="zh-TW"/>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805D6"/>
    <w:rsid w:val="33A80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2021-09-14T10:54:00Z</dcterms:created>
  <dc:creator>WPS_247158797</dc:creator>
  <cp:lastModifiedBy>WPS_247158797</cp:lastModifiedBy>
  <dcterms:modified xsi:type="dcterms:W3CDTF">2021-09-14T10:55:06Z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03902B409E7C464ABAD89D818FDA288F</vt:lpwstr>
  </property>
</Properties>
</file>